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33.858267716535" w:firstLine="0"/>
        <w:rPr/>
      </w:pPr>
      <w:r w:rsidDel="00000000" w:rsidR="00000000" w:rsidRPr="00000000">
        <w:rPr>
          <w:rtl w:val="0"/>
        </w:rPr>
      </w:r>
    </w:p>
    <w:p w:rsidR="00000000" w:rsidDel="00000000" w:rsidP="00000000" w:rsidRDefault="00000000" w:rsidRPr="00000000" w14:paraId="00000002">
      <w:pPr>
        <w:spacing w:after="100" w:line="36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u w:val="single"/>
          <w:rtl w:val="0"/>
        </w:rPr>
        <w:t xml:space="preserve">Titulo:</w:t>
      </w:r>
      <w:r w:rsidDel="00000000" w:rsidR="00000000" w:rsidRPr="00000000">
        <w:rPr>
          <w:rFonts w:ascii="Times New Roman" w:cs="Times New Roman" w:eastAsia="Times New Roman" w:hAnsi="Times New Roman"/>
          <w:color w:val="333333"/>
          <w:sz w:val="24"/>
          <w:szCs w:val="24"/>
          <w:rtl w:val="0"/>
        </w:rPr>
        <w:t xml:space="preserve"> De redes y construcción de lo común: reflexiones en torno a una experiencia local</w:t>
      </w:r>
    </w:p>
    <w:p w:rsidR="00000000" w:rsidDel="00000000" w:rsidP="00000000" w:rsidRDefault="00000000" w:rsidRPr="00000000" w14:paraId="00000003">
      <w:pPr>
        <w:spacing w:after="100" w:line="36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u w:val="single"/>
          <w:rtl w:val="0"/>
        </w:rPr>
        <w:t xml:space="preserve">Mesa temática 7.</w:t>
      </w:r>
      <w:r w:rsidDel="00000000" w:rsidR="00000000" w:rsidRPr="00000000">
        <w:rPr>
          <w:rFonts w:ascii="Times New Roman" w:cs="Times New Roman" w:eastAsia="Times New Roman" w:hAnsi="Times New Roman"/>
          <w:color w:val="333333"/>
          <w:sz w:val="24"/>
          <w:szCs w:val="24"/>
          <w:rtl w:val="0"/>
        </w:rPr>
        <w:t xml:space="preserve"> Políticas sociales.</w:t>
      </w:r>
    </w:p>
    <w:p w:rsidR="00000000" w:rsidDel="00000000" w:rsidP="00000000" w:rsidRDefault="00000000" w:rsidRPr="00000000" w14:paraId="00000004">
      <w:pPr>
        <w:spacing w:after="100" w:line="360" w:lineRule="auto"/>
        <w:ind w:left="-141.73228346456688" w:firstLine="0"/>
        <w:jc w:val="both"/>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u w:val="single"/>
          <w:rtl w:val="0"/>
        </w:rPr>
        <w:t xml:space="preserve">Autoras:</w:t>
      </w:r>
    </w:p>
    <w:p w:rsidR="00000000" w:rsidDel="00000000" w:rsidP="00000000" w:rsidRDefault="00000000" w:rsidRPr="00000000" w14:paraId="00000005">
      <w:pPr>
        <w:spacing w:after="100" w:line="360" w:lineRule="auto"/>
        <w:ind w:left="172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Alaminos, Maria Florencia (FCH - UNRC) — </w:t>
      </w:r>
      <w:r w:rsidDel="00000000" w:rsidR="00000000" w:rsidRPr="00000000">
        <w:rPr>
          <w:rFonts w:ascii="Times New Roman" w:cs="Times New Roman" w:eastAsia="Times New Roman" w:hAnsi="Times New Roman"/>
          <w:color w:val="1155cc"/>
          <w:sz w:val="24"/>
          <w:szCs w:val="24"/>
          <w:rtl w:val="0"/>
        </w:rPr>
        <w:t xml:space="preserve">falaminos@hum.unrc.edu.ar</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6">
      <w:pPr>
        <w:spacing w:after="100" w:line="360" w:lineRule="auto"/>
        <w:ind w:left="172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Ferrochio, Betiana (FCH - UNRC) — </w:t>
      </w:r>
      <w:r w:rsidDel="00000000" w:rsidR="00000000" w:rsidRPr="00000000">
        <w:rPr>
          <w:rFonts w:ascii="Times New Roman" w:cs="Times New Roman" w:eastAsia="Times New Roman" w:hAnsi="Times New Roman"/>
          <w:color w:val="1155cc"/>
          <w:sz w:val="24"/>
          <w:szCs w:val="24"/>
          <w:rtl w:val="0"/>
        </w:rPr>
        <w:t xml:space="preserve">betianaferro@gmail.com</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7">
      <w:pPr>
        <w:spacing w:after="100" w:line="360" w:lineRule="auto"/>
        <w:ind w:left="172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Rizzo, Sofia (FCH - UNRC) — </w:t>
      </w:r>
      <w:r w:rsidDel="00000000" w:rsidR="00000000" w:rsidRPr="00000000">
        <w:rPr>
          <w:rFonts w:ascii="Times New Roman" w:cs="Times New Roman" w:eastAsia="Times New Roman" w:hAnsi="Times New Roman"/>
          <w:color w:val="1155cc"/>
          <w:sz w:val="24"/>
          <w:szCs w:val="24"/>
          <w:rtl w:val="0"/>
        </w:rPr>
        <w:t xml:space="preserve">sofiarizzo@hum.unrc.edu.ar</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8">
      <w:pPr>
        <w:spacing w:after="100" w:line="360" w:lineRule="auto"/>
        <w:ind w:left="0" w:firstLine="0"/>
        <w:jc w:val="both"/>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Resumen:</w:t>
      </w:r>
    </w:p>
    <w:p w:rsidR="00000000" w:rsidDel="00000000" w:rsidP="00000000" w:rsidRDefault="00000000" w:rsidRPr="00000000" w14:paraId="00000009">
      <w:pPr>
        <w:spacing w:after="100" w:line="36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Este escrito nace a partir de las reflexiones que como profesionales de Trabajo Social y docentes universitarias venimos sosteniendo desde hace varios años, en relación a las características que adquiere el ejercicio profesional en municipios y comunas. En esta oportunidad nos interesa abordar un ejemplo de política social local en el marco de la cual las redes institucionales interjurisdiccionales, y las grupalidades se constituyen en habilitadores y potenciadores de la construcción de lo común-comunitario (Gutierrez y otras; 2019;2021). “Recicleta” es el nombre de la experiencia que recuperaremos, la cual inicia como experiencia y se convierte en política social local. Al apostar al trabajo colectivo , en tanto construcción social de saberes y en clave de construcción de comunidades de prácticas (Wenger, 1998) adquiere un sentido transformador en un momento socio- histórico impregnado por discursos de odio, signado por la intolerancia,y por un esfuerzo inusitado de invisibilizar a un otro que piensa, vive y siente diferente. Nos ocuparemos entonces de recuperar la experiencia en su trayectoria, propiciando el análisis situado de la misma, con énfasis en la construcción de lo común, el rol del Estado municipal; el rol profesional en este contexto y las sinergias que habilitan prácticas transformadoras.</w:t>
      </w:r>
    </w:p>
    <w:p w:rsidR="00000000" w:rsidDel="00000000" w:rsidP="00000000" w:rsidRDefault="00000000" w:rsidRPr="00000000" w14:paraId="0000000A">
      <w:pPr>
        <w:spacing w:after="100" w:line="360" w:lineRule="auto"/>
        <w:ind w:lef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Palabras clave: Trabajo Social - intervención en municipios y comunas - políticas sociales </w:t>
      </w:r>
    </w:p>
    <w:p w:rsidR="00000000" w:rsidDel="00000000" w:rsidP="00000000" w:rsidRDefault="00000000" w:rsidRPr="00000000" w14:paraId="0000000B">
      <w:pPr>
        <w:widowControl w:val="0"/>
        <w:spacing w:line="360" w:lineRule="auto"/>
        <w:ind w:left="0" w:firstLine="0"/>
        <w:jc w:val="both"/>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0C">
      <w:pPr>
        <w:widowControl w:val="0"/>
        <w:spacing w:line="360" w:lineRule="auto"/>
        <w:ind w:left="0" w:firstLine="0"/>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Trabajo Social, municipios y políticas sociales locales</w:t>
      </w:r>
    </w:p>
    <w:p w:rsidR="00000000" w:rsidDel="00000000" w:rsidP="00000000" w:rsidRDefault="00000000" w:rsidRPr="00000000" w14:paraId="0000000D">
      <w:pPr>
        <w:widowControl w:val="0"/>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escrito gira en torno a las  intervenciones que se suceden cotidianamente en nuestros ámbitos de trabajo, que requieren el esfuerzo permanente de poner en palabras lo que acontece en los contextos en y desde los cuales intervenimos, poniendo en tensión el bagaje teórico que portamos, las demandas concretas de los sujetos, las posibilidades reales de  generar una respuesta sostenida en el tiempo a través de las diferentes políticas sociales municipales, es en esta interseccionalidad donde ubicamos a la disciplina en la arena municipal, es por esto que  nos proponemos reflexionar en torno a una experiencia de intervención que, en su intento de dar respuestas a las necesidades de sociales que manifiestan lxs sujetos con los cuales trabajamos,  ha propiciado la configuración de nuevas lógicas de acción colectiva y procesos de (co) construcción de lo común, habilitando el encuentro dialógico entre el trabajo social, la escuela y la comunidad.</w:t>
      </w:r>
    </w:p>
    <w:p w:rsidR="00000000" w:rsidDel="00000000" w:rsidP="00000000" w:rsidRDefault="00000000" w:rsidRPr="00000000" w14:paraId="0000000E">
      <w:pPr>
        <w:widowControl w:val="0"/>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Entendemos que la intervención en lo social es también un espacio de disputas en el marco del cual el trabajo social como profesiòn ocupa un lugar privilegiado, pero no hegemónico, siguiendo a Clemente (2017) podemos decir que nos posicionamos desde una perspectiva integral de la intervención social desde el trabajo social en los territorios, en tanto “es la proximidad con el problema y su abordaje, implica comprender las distintas necesidades, intereses, tensiones y expresiones en el espacio local sea este barrial o municipal” (pág. 7).</w:t>
      </w:r>
    </w:p>
    <w:p w:rsidR="00000000" w:rsidDel="00000000" w:rsidP="00000000" w:rsidRDefault="00000000" w:rsidRPr="00000000" w14:paraId="0000000F">
      <w:pPr>
        <w:spacing w:after="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través del análisis de causas y efectos sin pretender agotar todo lo que es posible considerar, en palabras de Aguerrondo y Xifra (2011), podemos arribar a identificar aspectos centrales en lo que refiere a las características que adquiere el ejercicio profesional en municipios y comunas, poniendo en evidencia aquellos en los que es tanto indispensable como posible y viable una intervención. La propuesta de abordaje integral con perspectiva situada  requiere de saberes y herramientas tendientes a facilitar los diálogos entre actores sociales y organizaciones, en la construcción de estrategias de organización comunitaria para generar dispositivos que permitan acompañar a la comunidad.</w:t>
      </w:r>
    </w:p>
    <w:p w:rsidR="00000000" w:rsidDel="00000000" w:rsidP="00000000" w:rsidRDefault="00000000" w:rsidRPr="00000000" w14:paraId="00000010">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en este sentido que sostenemos que en las localidades de pequeña y mediana escala se sostiene la noción de lo común, entendida como aquellas formas comunitarias y solidarias que permiten sostener la vida en los territorios (Gutierrez Aguilar y otras, 2019), que construyen redes y sostienen las otredades con un sentido de inclusión. Coexisten entonces en los municipios medianos y pequeños aquellas redes comunes que sostienen, muchas veces por fuera o a contramano del Estado y el mercado; y el municipio con sus actores, agentes y profesionales, que se constituyen en el Estado en la vida cotidiana, esta cercanía que funcionarios y agentes estatales  tienen con instituciones y organizaciones habilita la resolución ‘desburocratizada’ y ágil de muchas de las demandas y problemáticas sociales; sin embargo, en la mayoría de los casos son acciones atomizadas, aisladas y poco sistemáticas, que no llegan a constituirse en políticas sociales locales, entendidas éstas como intervenciones estatales planificadas, organizadas y deliberadas que intentan garantizar el bienestar social  (Andrenacci,  2007; Soldano y Andrenacci, 2005) </w:t>
      </w:r>
    </w:p>
    <w:p w:rsidR="00000000" w:rsidDel="00000000" w:rsidP="00000000" w:rsidRDefault="00000000" w:rsidRPr="00000000" w14:paraId="0000001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en el cual se torna compleja la configuración y ejecución de políticas sociales municipales entendemos que cuando las intervenciones profesionales potencian y construyen políticas sociales en el entramado municipal es necesario ponerlas en común. Por esto nos ocuparemos de dar cuenta de la experiencia “Recicleta” en la localidad de Alcira Gigena, donde el Estado municipal aparece como constructor y articulador de una política social que atiende necesidades individuales desde la articulación territorial, e institucional, construyendo redes y sostenida en lo común, en tanto aborda la  participación de jóvenes desde lo grupal, en comunicación con organizaciones e instituciones (escuela y clubes deportivos) como así también la sociedad en general (vecinos de la localidad, medios de comunicación) , que posibilitaron la construcción de la red en lo local.</w:t>
      </w:r>
    </w:p>
    <w:p w:rsidR="00000000" w:rsidDel="00000000" w:rsidP="00000000" w:rsidRDefault="00000000" w:rsidRPr="00000000" w14:paraId="00000012">
      <w:pPr>
        <w:widowControl w:val="0"/>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La experiencia  “Recicleta”</w:t>
      </w:r>
    </w:p>
    <w:p w:rsidR="00000000" w:rsidDel="00000000" w:rsidP="00000000" w:rsidRDefault="00000000" w:rsidRPr="00000000" w14:paraId="0000001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iniciativa que surge de dos profesionales que coordinan el área de juventud en el Centro de inclusión Municipal en conjunto con doce adolescentes de  entre 14 y 16 años que asisten a talleres que allí se dictan; y consiste en la reparaciòn y armado de bicicletas; intentando dar respuesta a la necesidad de transporte/movilidad de estos jóvenes. Lo que nace como una necesidad individual de adolescencias es puesta en lo grupal, haciéndose extensible a las infancias y generando trabajo conjunto con diferentes actores en lo local teniendo cada uno de estos un rol en su participación y puesta a disposición de recursos para objetivos colectivos. </w:t>
      </w:r>
    </w:p>
    <w:p w:rsidR="00000000" w:rsidDel="00000000" w:rsidP="00000000" w:rsidRDefault="00000000" w:rsidRPr="00000000" w14:paraId="00000014">
      <w:pPr>
        <w:widowControl w:val="0"/>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Entendiendo que </w:t>
      </w:r>
      <w:r w:rsidDel="00000000" w:rsidR="00000000" w:rsidRPr="00000000">
        <w:rPr>
          <w:rFonts w:ascii="Times New Roman" w:cs="Times New Roman" w:eastAsia="Times New Roman" w:hAnsi="Times New Roman"/>
          <w:rtl w:val="0"/>
        </w:rPr>
        <w:t xml:space="preserve">la sociedad actual, está siendo atravesada por una serie de transformaciones estructurales, que impactan en las identidades y en la construcción de ciudadanía de nuestros jóvenes es que la experiencia intentó e intenta </w:t>
      </w:r>
      <w:r w:rsidDel="00000000" w:rsidR="00000000" w:rsidRPr="00000000">
        <w:rPr>
          <w:rFonts w:ascii="Times New Roman" w:cs="Times New Roman" w:eastAsia="Times New Roman" w:hAnsi="Times New Roman"/>
          <w:rtl w:val="0"/>
        </w:rPr>
        <w:t xml:space="preserve">promoveer</w:t>
      </w:r>
      <w:r w:rsidDel="00000000" w:rsidR="00000000" w:rsidRPr="00000000">
        <w:rPr>
          <w:rFonts w:ascii="Times New Roman" w:cs="Times New Roman" w:eastAsia="Times New Roman" w:hAnsi="Times New Roman"/>
          <w:rtl w:val="0"/>
        </w:rPr>
        <w:t xml:space="preserve"> una estrategia política- educativa, dirigida a sectores sociales que viven la realidad de la inclusión – exclusión en su cotidianidad y se encuentra asentada en la lógica de los derechos y el ejercicio de la ciudadanía. Este desafío</w:t>
      </w:r>
      <w:r w:rsidDel="00000000" w:rsidR="00000000" w:rsidRPr="00000000">
        <w:rPr>
          <w:rFonts w:ascii="Times New Roman" w:cs="Times New Roman" w:eastAsia="Times New Roman" w:hAnsi="Times New Roman"/>
          <w:rtl w:val="0"/>
        </w:rPr>
        <w:t xml:space="preserve"> implica la construcción de un nuevo consenso social, en el que las necesidades e intereses de nuestros jóvenes estén plenamente incorporados, no sólo en los cuerpos normativos y en el diseño de las políticas sociales, sino fundamentalmente en el imaginario y en las representaciones sociales.</w:t>
      </w:r>
    </w:p>
    <w:p w:rsidR="00000000" w:rsidDel="00000000" w:rsidP="00000000" w:rsidRDefault="00000000" w:rsidRPr="00000000" w14:paraId="00000015">
      <w:pPr>
        <w:widowControl w:val="0"/>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Larrosa (Larrosa, 2002, pp.174), señala que </w:t>
      </w:r>
      <w:r w:rsidDel="00000000" w:rsidR="00000000" w:rsidRPr="00000000">
        <w:rPr>
          <w:rFonts w:ascii="Times New Roman" w:cs="Times New Roman" w:eastAsia="Times New Roman" w:hAnsi="Times New Roman"/>
          <w:i w:val="1"/>
          <w:rtl w:val="0"/>
        </w:rPr>
        <w:t xml:space="preserve">la experiencia sería lo que nos pasa. No  lo</w:t>
      </w:r>
      <w:r w:rsidDel="00000000" w:rsidR="00000000" w:rsidRPr="00000000">
        <w:rPr>
          <w:rFonts w:ascii="Times New Roman" w:cs="Times New Roman" w:eastAsia="Times New Roman" w:hAnsi="Times New Roman"/>
          <w:i w:val="1"/>
          <w:sz w:val="24"/>
          <w:szCs w:val="24"/>
          <w:rtl w:val="0"/>
        </w:rPr>
        <w:t xml:space="preserve"> que pasa </w:t>
      </w:r>
      <w:r w:rsidDel="00000000" w:rsidR="00000000" w:rsidRPr="00000000">
        <w:rPr>
          <w:rFonts w:ascii="Times New Roman" w:cs="Times New Roman" w:eastAsia="Times New Roman" w:hAnsi="Times New Roman"/>
          <w:i w:val="1"/>
          <w:rtl w:val="0"/>
        </w:rPr>
        <w:t xml:space="preserve">sino  lo  que  nos  pasa,</w:t>
      </w:r>
      <w:r w:rsidDel="00000000" w:rsidR="00000000" w:rsidRPr="00000000">
        <w:rPr>
          <w:rFonts w:ascii="Times New Roman" w:cs="Times New Roman" w:eastAsia="Times New Roman" w:hAnsi="Times New Roman"/>
          <w:rtl w:val="0"/>
        </w:rPr>
        <w:t xml:space="preserve"> es  decir,  la  posibilidad  de  que  algo  nos  acontezca,  nos atraviese, y para que eso ocurra se requiere de un gesto de  interrupción, de poder mirar,  escuchar,  detenerse  en  los  detalles,  suspender  la  opinión,  y  sobre  todo,  de poder entablar un encuentro que nos  invite a narrar qué pasa  y  cómo nos pasa.</w:t>
      </w:r>
    </w:p>
    <w:p w:rsidR="00000000" w:rsidDel="00000000" w:rsidP="00000000" w:rsidRDefault="00000000" w:rsidRPr="00000000" w14:paraId="00000016">
      <w:pPr>
        <w:spacing w:after="120" w:before="240"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ello se han planificado talleres centrados en la tarea que han permitido y  permiten retroalimentar las experiencias propias con los contenidos teóricos, los talleres se orientaron al trabajo con los jóvenes a partir de la valorización de sus propios saberes y experiencias promoviendo su participación activa  refiriéndose a situaciones concretas de la vida cotidiana. </w:t>
      </w:r>
    </w:p>
    <w:p w:rsidR="00000000" w:rsidDel="00000000" w:rsidP="00000000" w:rsidRDefault="00000000" w:rsidRPr="00000000" w14:paraId="00000017">
      <w:pPr>
        <w:spacing w:after="120" w:before="240" w:line="360" w:lineRule="auto"/>
        <w:ind w:left="0" w:firstLine="0"/>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Por lo dicho la labor de evaluación de esta política es asumida como un compromiso institucional, en tanto responde a lo que sostiene Niremberg (2013) “una intervención, programable, que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 significa, entre otras cuestiones, que se le deben atribuir recursos específicos: personas idóneas, tiempos, momentos y lugares específicos, equipos adecuados, insumos, dinero. Significa, asimismo, que deben preverse con anticipación las metodologías y técnicas por aplicar, los pasos que se seguirán, así como las actividades que se realizarán</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Esta organización del trabajo, a la vez, sugiere una mirada similar a la definida por Celman (2003: 8): “Los sujetos sociales colectivos que participen en la selección, recorte y construcción de los saberes deben asumirse para tal tarea, en primer lugar como sujetos epistémicos plenos, es decir, con capacidad para decidir y participar en el trabajo de construcción del conocimiento. Creemos que una condición de posibilidad para que esto ocurra es que, a su vez, se los reconozca institucionalmente como sujetos sociales con categoría ciudadana, es decir con potencialidad y disposición para pensar, cuestionar e intervenir en lo público</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Sin embargo, en el caso bajo análisis, observamos que </w:t>
      </w:r>
      <w:r w:rsidDel="00000000" w:rsidR="00000000" w:rsidRPr="00000000">
        <w:rPr>
          <w:rFonts w:ascii="Times New Roman" w:cs="Times New Roman" w:eastAsia="Times New Roman" w:hAnsi="Times New Roman"/>
          <w:color w:val="222222"/>
          <w:rtl w:val="0"/>
        </w:rPr>
        <w:t xml:space="preserve">en la definición y el diseño de la evaluación no participaron directamente los estudiantes ni los miembros del territorio involucrados en la Política Social. Se pierde así la construcción colectiva de los referentes para la evaluación, es decir para que sea una genuina evaluación participativa y democrática. Esto podría deberse a las condiciones reales de posibilidad de la participación en esta instancia, aunque estos actores participan activamente al momento del desarrollo de las actividades propuestas, entendemos que al no incluirlos en la evaluación final del proceso se pierde la posibilidad de mejora durante el curso de evaluación.</w:t>
      </w:r>
    </w:p>
    <w:p w:rsidR="00000000" w:rsidDel="00000000" w:rsidP="00000000" w:rsidRDefault="00000000" w:rsidRPr="00000000" w14:paraId="00000018">
      <w:pPr>
        <w:widowControl w:val="0"/>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Reflexiones para seguir pensando</w:t>
      </w:r>
    </w:p>
    <w:p w:rsidR="00000000" w:rsidDel="00000000" w:rsidP="00000000" w:rsidRDefault="00000000" w:rsidRPr="00000000" w14:paraId="0000001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a Brancoli (2013)  decimos que los procesos de reforma del estado (descentralización, privatización, desregulación,focalización) y los momentos de crisis económicas y sociales  vuelven a instalar la comunidad como lugar de centralidad; de refugio para lograr protección social y dar respuesta a necesidades en escenarios hostiles, de incertidumbre y vulneración de derechos, tal vez por eso la propuesta de Recicleta no sólo incluyó a los jóvenes sino que se enredó en la comunidad,sumando acciones, labores y solidaridades  instituciones, organizaciones y vecinos. </w:t>
      </w:r>
    </w:p>
    <w:p w:rsidR="00000000" w:rsidDel="00000000" w:rsidP="00000000" w:rsidRDefault="00000000" w:rsidRPr="00000000" w14:paraId="000000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aquí en donde nos detenemos a pensar en estas nuevas formas de mirar  la instrumentalidad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para abordar lo común desde lo grupal y la construcción de problemas necesidades sentidas por un grupo  que mira a su comunidad y genera estrategias de respuesta construyendo así lo común. El abordaje comunitario se abre a nuevas configuraciones en lo grupal que atiende a necesidades de lo común como vecinos y vecinas de una localidad que excede los límites de los grupos o la identidad del sujeto organización. Generando rupturas en la intencionalidad y en las prácticas que atienden a demandas puntuales de problemas en la organización situadas sólo en estas y en los sujetos que las habitan en lo cotidiano.</w:t>
      </w:r>
    </w:p>
    <w:p w:rsidR="00000000" w:rsidDel="00000000" w:rsidP="00000000" w:rsidRDefault="00000000" w:rsidRPr="00000000" w14:paraId="000000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a Clemente (2017) decimos que en este caso el hecho participativo se configura en torno a la satisfacción de necesidades  que surgen de lo individual pero que puestas en lo grupal se configuran en necesidades comunes. Se trata de nuevas formas organizativas a ser  incorporadas como dispositivo para las políticas sociales y en el ejercicio de la disciplina, también como lugar  donde se colectivizan intereses siendo los actores protagonistas.  </w:t>
      </w:r>
    </w:p>
    <w:p w:rsidR="00000000" w:rsidDel="00000000" w:rsidP="00000000" w:rsidRDefault="00000000" w:rsidRPr="00000000" w14:paraId="0000001C">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p>
    <w:p w:rsidR="00000000" w:rsidDel="00000000" w:rsidP="00000000" w:rsidRDefault="00000000" w:rsidRPr="00000000" w14:paraId="0000001E">
      <w:pPr>
        <w:spacing w:before="24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Aguerrondo, I. y Xifra, S. (2011). La Planificación Estratégica Situacional como método de gobierno. Reorganización de la supervisión educativa en Ecuador.</w:t>
      </w:r>
    </w:p>
    <w:p w:rsidR="00000000" w:rsidDel="00000000" w:rsidP="00000000" w:rsidRDefault="00000000" w:rsidRPr="00000000" w14:paraId="000000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Andrenacci, L (2007) Política Social y gobernabilidad democrática en América Latina, Buenos Aires. CLACSO.</w:t>
      </w:r>
    </w:p>
    <w:p w:rsidR="00000000" w:rsidDel="00000000" w:rsidP="00000000" w:rsidRDefault="00000000" w:rsidRPr="00000000" w14:paraId="0000002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Bráncoli, J. (2014).-LA COMUNIDAD: NOSTALGIA, PROMESA Y REFUGIO Revista Sociedad. Publicación de la Facultad de Ciencias Sociales de la UBA. N°33. Ed. Eudeba, Buenos Aires.</w:t>
      </w:r>
    </w:p>
    <w:p w:rsidR="00000000" w:rsidDel="00000000" w:rsidP="00000000" w:rsidRDefault="00000000" w:rsidRPr="00000000" w14:paraId="00000022">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Burbules, N. (2012) Aprendizaje ubicuo. Entrevista disponible en: </w:t>
      </w:r>
      <w:hyperlink r:id="rId7">
        <w:r w:rsidDel="00000000" w:rsidR="00000000" w:rsidRPr="00000000">
          <w:rPr>
            <w:rFonts w:ascii="Times New Roman" w:cs="Times New Roman" w:eastAsia="Times New Roman" w:hAnsi="Times New Roman"/>
            <w:color w:val="0000ff"/>
            <w:u w:val="single"/>
            <w:rtl w:val="0"/>
          </w:rPr>
          <w:t xml:space="preserve">https://www.youtube.com/watch?v=GbWdQCMS4VM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Clemente, A. (2017). Hacia un enfoque situacional de la atención de la pobreza urbana. El aporte de los programas de abordaje integral como paradigma de la política social. Buenos Aires: Facultad de Ciencias Sociales (UBA) y Espacio.</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Echevarria, A (2017) Intervención, políticas públicas y espacios de articulación en el territorio. Una historia de encuentros y desencuentros. Revista Debate Público. Reflexión de Trabajo Social. Año 7, Nº 13. UBA.</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Guerra, Y. (2003). Instrumentalidad del proceso de trabajo y Servicio Social. Revista Servicio Social &amp; Sociedad, (62). </w:t>
      </w:r>
    </w:p>
    <w:p w:rsidR="00000000" w:rsidDel="00000000" w:rsidP="00000000" w:rsidRDefault="00000000" w:rsidRPr="00000000" w14:paraId="000000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Gutierrez Aguilar, R; Trujillo, M (2019) “Producir lo común para sostener y transformar la vida” </w:t>
      </w:r>
    </w:p>
    <w:p w:rsidR="00000000" w:rsidDel="00000000" w:rsidP="00000000" w:rsidRDefault="00000000" w:rsidRPr="00000000" w14:paraId="00000027">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Gros, B. (2015) La caída de los muros del conocimiento en la sociedad digital y las pedagogías emergentes. EKS. Vol.126 n° 1 Celman, S. (2003): Sujetos y objetos de la Evaluación.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Nirember, O. (2013). Capítulo 4: Evaluación: Aspectos conceptuales y diseños. En: Formulación y evaluación de intervenciones sociales. Ed. NOVEDUC. Bs. Aires.</w:t>
      </w:r>
      <w:r w:rsidDel="00000000" w:rsidR="00000000" w:rsidRPr="00000000">
        <w:rPr>
          <w:rtl w:val="0"/>
        </w:rPr>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Rofman Adriana (2016). Compiladora. Participación, políticas públicas y territorio : aportes para la construcción de una perspectiva integral / Adriana Rofman. 1a ed . - Los Polvorines : Universidad Nacional de General Sarmiento. </w:t>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Tomando a Guerra (2004) decimos que  la instrumentalidad nos permite redireccionar con quienes hacia donde, la intencionalidad del hacer proesional para poder pensarnos en el proceso de trabajo y con ellos nuestras acciones en la operacionalidad de las prácticas.</w:t>
      </w:r>
    </w:p>
    <w:p w:rsidR="00000000" w:rsidDel="00000000" w:rsidP="00000000" w:rsidRDefault="00000000" w:rsidRPr="00000000" w14:paraId="0000002D">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youtube.com/watch?v=GbWdQCMS4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