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79" w:rsidRDefault="005F6D79" w:rsidP="005F6D79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5F6D7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es-ES"/>
        </w:rPr>
        <w:t>SERVICIO DE ESTIMULACIÓN TEMPRANA CRE-SIENDO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.</w:t>
      </w:r>
    </w:p>
    <w:p w:rsidR="005F6D79" w:rsidRDefault="005F6D79" w:rsidP="005F6D79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HOSPITAL MUNICIPAL DR. FERMÍN DE LA COLINA. VILLA CONCEPCIÓN DEL TÍO. </w:t>
      </w:r>
    </w:p>
    <w:p w:rsidR="005F6D79" w:rsidRDefault="005F6D79" w:rsidP="005F6D79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</w:p>
    <w:p w:rsidR="00AD1758" w:rsidRPr="00AD1758" w:rsidRDefault="00AD1758" w:rsidP="005F6D79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BOTTALLO MARIA EUGENIA (EQUIPO INTERDISCIPLINARIO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-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Hospital Municipal Dr. Fermín de la Colina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- Villa Concepción del Tío) — </w:t>
      </w:r>
      <w:hyperlink r:id="rId7" w:tgtFrame="_blank" w:history="1">
        <w:r w:rsidRPr="00AD175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ES"/>
          </w:rPr>
          <w:t>licbottallo@gmail.com</w:t>
        </w:r>
      </w:hyperlink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.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br/>
        <w:t>AGUIAR, DANIELA (EQUIPO INTERDISCIPLINARIO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-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Hospital Municipal Dr. Fermín de la Coli</w:t>
      </w:r>
      <w:r w:rsidR="005F6D7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na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="005F6D7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- Villa Concepción del Tío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="009B2203"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—</w:t>
      </w:r>
      <w:r w:rsidR="005F6D79"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="005F6D79" w:rsidRPr="005F6D7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aguiardaniela88@gmail.com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.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br/>
        <w:t>CEQUEIRA, CLAUDIA (EQUIPO INTERDISCIPLINARIO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-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Hospital Municipal Dr. Fermín de la </w:t>
      </w:r>
      <w:r w:rsidR="005F6D7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Colina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- Villa Concepción del Tío </w:t>
      </w:r>
      <w:r w:rsidR="009B2203"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—</w:t>
      </w:r>
      <w:r w:rsidR="005F6D7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c</w:t>
      </w:r>
      <w:r w:rsidR="00480E0D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laucequeira3@gmail.com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.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br/>
        <w:t>MAGLIANO, María Julieta (EQUIPO INTERDISCIPLINARIO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-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Hospital Municipal Dr. Fermín de la Colina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- Villa Concepción del Tío) — </w:t>
      </w:r>
      <w:hyperlink r:id="rId8" w:tgtFrame="_blank" w:history="1">
        <w:r w:rsidRPr="00AD175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ES"/>
          </w:rPr>
          <w:t>licbottallo@gmail.com</w:t>
        </w:r>
      </w:hyperlink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.</w:t>
      </w:r>
    </w:p>
    <w:p w:rsidR="00AD1758" w:rsidRPr="00AD1758" w:rsidRDefault="00AD1758" w:rsidP="00AD1758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</w:p>
    <w:p w:rsidR="005F6D79" w:rsidRDefault="00AD1758" w:rsidP="00AD1758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PALABRAS CLAVE: salud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- crecimiento y desarrollo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- prevención. </w:t>
      </w:r>
    </w:p>
    <w:p w:rsidR="005F6D79" w:rsidRDefault="00AD1758" w:rsidP="00AD1758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El contexto social de Villa Concepción del Tío es vulnerable, con problemáticas tales como la pobreza estructural, el bajo nivel educativo, la care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ncia de oportunidades laborales,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el aislamiento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 entre otras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. En ese contexto resulta fundamental la prevención en salud, y garantizar el desarrollo saludable de las infancias.</w:t>
      </w:r>
      <w:r w:rsidR="00423104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="002D686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Primerament</w:t>
      </w:r>
      <w:r w:rsidR="00423104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</w:t>
      </w:r>
      <w:r w:rsidR="002D686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 resultaba fundamental conocer a través de datos de la realidad confiables, el estado o las condiciones de</w:t>
      </w:r>
      <w:r w:rsidR="00423104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="002D686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salud de la población. En ese marco, se decidió el armado del “</w:t>
      </w:r>
      <w:r w:rsidR="004069BA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S</w:t>
      </w:r>
      <w:r w:rsidR="002D686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ervicio de Estimulación Temprana </w:t>
      </w:r>
      <w:proofErr w:type="spellStart"/>
      <w:r w:rsidR="002D686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Cre</w:t>
      </w:r>
      <w:proofErr w:type="spellEnd"/>
      <w:r w:rsidR="002D686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- Siendo.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Profesionales 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intervinientes en el Servicio: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="009B2203"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Lic.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proofErr w:type="gramStart"/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en</w:t>
      </w:r>
      <w:proofErr w:type="gramEnd"/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Trabajo Social, </w:t>
      </w:r>
      <w:r w:rsidR="009B2203"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Lic.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proofErr w:type="gramStart"/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en</w:t>
      </w:r>
      <w:proofErr w:type="gramEnd"/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Psicomotricidad, </w:t>
      </w:r>
      <w:r w:rsidR="009B2203"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Lic.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proofErr w:type="gramStart"/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en</w:t>
      </w:r>
      <w:proofErr w:type="gramEnd"/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Psicología, </w:t>
      </w:r>
      <w:r w:rsidR="009B2203"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Lic.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proofErr w:type="gramStart"/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en</w:t>
      </w:r>
      <w:proofErr w:type="gramEnd"/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enfermería, </w:t>
      </w:r>
      <w:r w:rsidR="009B2203"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Lic.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proofErr w:type="gramStart"/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en</w:t>
      </w:r>
      <w:proofErr w:type="gramEnd"/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fonoaudiología y </w:t>
      </w:r>
      <w:r w:rsidR="009B2203"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Lic.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proofErr w:type="gramStart"/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en</w:t>
      </w:r>
      <w:proofErr w:type="gramEnd"/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Nutrición.</w:t>
      </w:r>
    </w:p>
    <w:p w:rsidR="00423104" w:rsidRDefault="00AD1758" w:rsidP="00AD1758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5F6D7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s-ES"/>
        </w:rPr>
        <w:t>Población objetivo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: embarazadas y niños de 0 a 6 años. Fecha de creación: junio 2023. En una primera etapa, diagnóstica, se detectaron las problemáticas más importantes en torno a la salud (dificultades nutricionales, de acceso al diagnóstico adecuado, vulneración de derechos, esquema de vacunación incompleto, falta de estimulación, entre otras). </w:t>
      </w:r>
      <w:r w:rsidR="00EB5395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El servicio funciona lunes y martes de</w:t>
      </w:r>
      <w:r w:rsidR="00423104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14 a 17 horas, en el Hospital Municipal Dr. Fermín de la Colina.</w:t>
      </w:r>
      <w:r w:rsidR="00EB5395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Se cita a los padres o adultos responsables, con el niño o niña, y 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se </w:t>
      </w:r>
      <w:r w:rsidR="00EB5395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realiza</w:t>
      </w:r>
      <w:r w:rsidR="009B220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n</w:t>
      </w:r>
      <w:r w:rsidR="00EB5395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varias entrevistas (con Trabajo social, </w:t>
      </w:r>
      <w:r w:rsidR="00423104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con nutricionista, con enfer</w:t>
      </w:r>
      <w:r w:rsidR="00EB5395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mería y psicomotricidad</w:t>
      </w:r>
      <w:r w:rsidR="00423104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)</w:t>
      </w:r>
      <w:r w:rsidR="00EB5395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. </w:t>
      </w:r>
      <w:r w:rsidR="00423104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En las entrevistas, se explican los alcances del servicio, funciones y aportes para la  comunidad, </w:t>
      </w:r>
      <w:r w:rsidR="004069BA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s</w:t>
      </w:r>
      <w:r w:rsidR="00423104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e abre una historia clínica familiar, con datos de escolaridad, vínculos, salud, necesidades, entre otros. Durante los </w:t>
      </w:r>
      <w:r w:rsidR="00423104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lastRenderedPageBreak/>
        <w:t xml:space="preserve">primeros seis meses se relevaron 289 familias. Luego, se tabularon los datos a los efectos de realizar una estadística, para conocer el estado en relación a la salud de ese grupo poblacional. Estos datos se relevan cada seis meses, para evaluar avances en relación a las actividades propuestas.   </w:t>
      </w: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Teniendo en cuenta lo detectado, se elaboró un plan de trabajo a cinco años, con instrumentos de monitoreo a los efectos de conocer avances, retrocesos, resultados, que sean posibles de medir. Se sugirieron además políticas públicas a nivel municipal, que tengan en cuenta este diagnóstico. </w:t>
      </w:r>
      <w:r w:rsidR="00423104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Hasta la fecha, las problemáticas detectadas fueron las siguientes: </w:t>
      </w:r>
    </w:p>
    <w:tbl>
      <w:tblPr>
        <w:tblW w:w="48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480"/>
      </w:tblGrid>
      <w:tr w:rsidR="007553A1" w:rsidRPr="007553A1" w:rsidTr="007553A1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Aspectos nutricionales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23%</w:t>
            </w:r>
          </w:p>
        </w:tc>
      </w:tr>
      <w:tr w:rsidR="007553A1" w:rsidRPr="007553A1" w:rsidTr="007553A1">
        <w:trPr>
          <w:trHeight w:val="27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Microcefalia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3%</w:t>
            </w:r>
          </w:p>
        </w:tc>
      </w:tr>
      <w:tr w:rsidR="007553A1" w:rsidRPr="007553A1" w:rsidTr="007553A1">
        <w:trPr>
          <w:trHeight w:val="28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Discapacidad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5%</w:t>
            </w:r>
          </w:p>
        </w:tc>
      </w:tr>
      <w:tr w:rsidR="007553A1" w:rsidRPr="007553A1" w:rsidTr="007553A1">
        <w:trPr>
          <w:trHeight w:val="28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553A1" w:rsidRPr="007553A1" w:rsidRDefault="007553A1" w:rsidP="007553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Necesidad de seguimiento médico/diagnóstico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14%</w:t>
            </w:r>
          </w:p>
        </w:tc>
      </w:tr>
      <w:tr w:rsidR="007553A1" w:rsidRPr="007553A1" w:rsidTr="007553A1">
        <w:trPr>
          <w:trHeight w:val="28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Seguimiento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31%</w:t>
            </w:r>
          </w:p>
        </w:tc>
      </w:tr>
      <w:tr w:rsidR="007553A1" w:rsidRPr="007553A1" w:rsidTr="007553A1">
        <w:trPr>
          <w:trHeight w:val="28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Fonoaudiología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11%</w:t>
            </w:r>
          </w:p>
        </w:tc>
      </w:tr>
      <w:tr w:rsidR="007553A1" w:rsidRPr="007553A1" w:rsidTr="007553A1">
        <w:trPr>
          <w:trHeight w:val="28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Psicomotricidad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8%</w:t>
            </w:r>
          </w:p>
        </w:tc>
      </w:tr>
      <w:tr w:rsidR="007553A1" w:rsidRPr="007553A1" w:rsidTr="007553A1">
        <w:trPr>
          <w:trHeight w:val="28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Psicología / Psiquiatría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553A1" w:rsidRPr="007553A1" w:rsidRDefault="007553A1" w:rsidP="0075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7553A1">
              <w:rPr>
                <w:rFonts w:ascii="Calibri" w:eastAsia="Times New Roman" w:hAnsi="Calibri" w:cs="Calibri"/>
                <w:lang w:eastAsia="es-ES"/>
              </w:rPr>
              <w:t>6%</w:t>
            </w:r>
          </w:p>
        </w:tc>
      </w:tr>
    </w:tbl>
    <w:p w:rsidR="00423104" w:rsidRDefault="00423104" w:rsidP="00AD1758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</w:p>
    <w:p w:rsidR="00C31861" w:rsidRDefault="00C31861" w:rsidP="00AD1758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En aspectos nutricionales se incluyen las siguientes categorías: desnutrición, </w:t>
      </w:r>
      <w:r w:rsidR="004069BA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b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ajo peso, riesgo nutricional,  sobrepeso, obesidad.</w:t>
      </w:r>
    </w:p>
    <w:p w:rsidR="00C31861" w:rsidRDefault="00C31861" w:rsidP="00AD1758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En necesidad de seguimiento social, se diferencia entre vulnerabilidad y riesgo. Se toman diferentes parámetros tales como: nivel de pobreza, nivel educativo, ingresos, acceso a recursos de salud y otros, hacinamiento, condiciones habitacionales, grado de inserción social, recursos económicos, sociales, psíquicos, existencia o no de maltrato, abuso, o vulneración de derechos, entre otros. </w:t>
      </w:r>
    </w:p>
    <w:p w:rsidR="00C31861" w:rsidRDefault="007553A1" w:rsidP="00AD1758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Acorde a lo detectado, se organiza un protoco</w:t>
      </w:r>
      <w:r w:rsidR="008E4D3E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lo de Intervención por familia (s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eguimiento, derivación, gestión de acceso al sistema de salud, asesoramiento, entre otros, y según corresponda)</w:t>
      </w:r>
      <w:r w:rsidR="008E4D3E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En paralelo, se han gestionado recursos municipales y provinci</w:t>
      </w:r>
      <w:r w:rsidR="00C31861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ales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como la apertura del Punto Mujer, gestión de subsidios, CUD, </w:t>
      </w:r>
      <w:r w:rsidR="008E4D3E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etc.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) y organizado acciones de prevención Primaria,</w:t>
      </w:r>
      <w:r w:rsidR="00C31861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articulando con diferentes Instituciones que pueda garantizar una red de apoyo sólida y la disminución y / o resolución de problemáticas a mediano y largo plazo. </w:t>
      </w:r>
    </w:p>
    <w:p w:rsidR="00C31861" w:rsidRDefault="00C31861" w:rsidP="00AD1758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En relación a esto: </w:t>
      </w:r>
    </w:p>
    <w:p w:rsidR="00C31861" w:rsidRDefault="00C31861" w:rsidP="00C31861">
      <w:pPr>
        <w:pStyle w:val="Prrafodelista"/>
        <w:numPr>
          <w:ilvl w:val="0"/>
          <w:numId w:val="5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Se han realizado convenios y acuerdos de trabajo con todas las Instituciones Educativas, </w:t>
      </w:r>
      <w:r w:rsidR="007553A1" w:rsidRPr="00C31861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a los efectos de que el Servicio realice las Fichas médicas obligatorias que requiere el Ministerio de Educación. De este modo, se pueden obtener datos acerca de la situación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lastRenderedPageBreak/>
        <w:t>de salud de toda la población en edad escolar, más allá de las competencias específicas del Servicio.</w:t>
      </w:r>
    </w:p>
    <w:p w:rsidR="007553A1" w:rsidRDefault="00C31861" w:rsidP="003B2799">
      <w:pPr>
        <w:pStyle w:val="Prrafodelista"/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Por otra parte, desde la apertura del Servicio a la fecha,</w:t>
      </w:r>
      <w:r w:rsidR="003B279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se han realizado:  </w:t>
      </w:r>
    </w:p>
    <w:p w:rsidR="003B2799" w:rsidRDefault="003B2799" w:rsidP="003B2799">
      <w:pPr>
        <w:pStyle w:val="Prrafodelista"/>
        <w:numPr>
          <w:ilvl w:val="0"/>
          <w:numId w:val="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3B279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Talleres de reflexión con padres de Jardín de Infantes, Primaria, nivel medio y Sala </w:t>
      </w:r>
      <w:r w:rsidR="004069BA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Cuna, con temáticas tales como l</w:t>
      </w:r>
      <w:r w:rsidRPr="003B279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ímites, prevención de adicciones, necesidades afectivas, higiene, alimentación, salud bucal, importancia de la vacunación, entre otros. </w:t>
      </w:r>
    </w:p>
    <w:p w:rsidR="003B2799" w:rsidRDefault="003B2799" w:rsidP="003B2799">
      <w:pPr>
        <w:pStyle w:val="Prrafodelista"/>
        <w:numPr>
          <w:ilvl w:val="0"/>
          <w:numId w:val="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Talleres de capacitación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docente, acorde a dificultades planteadas por los mismos.</w:t>
      </w:r>
      <w:r w:rsidR="004069BA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(Ejemplo: Clima Institucional, resolución de confli</w:t>
      </w:r>
      <w:r w:rsidR="008E4D3E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ctos, emocionalidad en el aula).</w:t>
      </w:r>
    </w:p>
    <w:p w:rsidR="003B2799" w:rsidRDefault="003B2799" w:rsidP="003B2799">
      <w:pPr>
        <w:pStyle w:val="Prrafodelista"/>
        <w:numPr>
          <w:ilvl w:val="0"/>
          <w:numId w:val="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Talleres para niños y adolescentes, sobre Proyecto de vida,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Bullying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 prevención de adicciones, alimentación y emo</w:t>
      </w:r>
      <w:r w:rsidR="008E4D3E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ciones, alimentación saludable).</w:t>
      </w:r>
    </w:p>
    <w:p w:rsidR="003B2799" w:rsidRDefault="003B2799" w:rsidP="003B2799">
      <w:pPr>
        <w:pStyle w:val="Prrafodelista"/>
        <w:numPr>
          <w:ilvl w:val="0"/>
          <w:numId w:val="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Colaboración con proyectos Institucionales tales como Kiosco saludable, huerta, etc. </w:t>
      </w:r>
    </w:p>
    <w:p w:rsidR="003B2799" w:rsidRDefault="003B2799" w:rsidP="003B2799">
      <w:pPr>
        <w:pStyle w:val="Prrafodelista"/>
        <w:numPr>
          <w:ilvl w:val="0"/>
          <w:numId w:val="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Talleres para adultos que concurren al CENMA, (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nivel medio adultos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) sobre prevención de violencia en la pareja, masculini</w:t>
      </w:r>
      <w:r w:rsidR="009F3F5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dades y violencia, ley Micaela.</w:t>
      </w:r>
    </w:p>
    <w:p w:rsidR="003B2799" w:rsidRDefault="003B2799" w:rsidP="003B2799">
      <w:pPr>
        <w:pStyle w:val="Prrafodelista"/>
        <w:numPr>
          <w:ilvl w:val="0"/>
          <w:numId w:val="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Colaboración con el Programa de ESI en escuela de nivel medio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.</w:t>
      </w:r>
    </w:p>
    <w:p w:rsidR="003B2799" w:rsidRDefault="003B2799" w:rsidP="003B2799">
      <w:pPr>
        <w:pStyle w:val="Prrafodelista"/>
        <w:numPr>
          <w:ilvl w:val="0"/>
          <w:numId w:val="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AD1758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Grupo de embarazadas y madres de niños pequeños, una vez por semana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 a los efectos de compartir pautas de crianza saludables</w:t>
      </w:r>
      <w:r w:rsidR="004069BA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(en particular</w:t>
      </w:r>
      <w:r w:rsidR="008E4D3E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este grupo está conformado </w:t>
      </w:r>
      <w:r w:rsidR="008E4D3E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por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madres que poseen CUD por retraso Intelectual) </w:t>
      </w:r>
    </w:p>
    <w:p w:rsidR="009F3F59" w:rsidRDefault="009F3F59" w:rsidP="009F3F59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Además de las problemáticas iniciales, se han i</w:t>
      </w:r>
      <w:r w:rsidR="00CF47F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do conociendo otras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, en función del avance del trabajo, a saber: </w:t>
      </w:r>
    </w:p>
    <w:p w:rsidR="009F3F59" w:rsidRDefault="009F3F59" w:rsidP="009F3F59">
      <w:pPr>
        <w:pStyle w:val="Prrafodelista"/>
        <w:numPr>
          <w:ilvl w:val="0"/>
          <w:numId w:val="7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Inicio sexual precoz en niños de 11, 12 y 13 años. </w:t>
      </w:r>
    </w:p>
    <w:p w:rsidR="009F3F59" w:rsidRDefault="009F3F59" w:rsidP="009F3F59">
      <w:pPr>
        <w:pStyle w:val="Prrafodelista"/>
        <w:numPr>
          <w:ilvl w:val="0"/>
          <w:numId w:val="7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Embarazo adolescente de niñas entre 13 y 14 años. </w:t>
      </w:r>
    </w:p>
    <w:p w:rsidR="003B2799" w:rsidRDefault="009F3F59" w:rsidP="00225F6D">
      <w:pPr>
        <w:pStyle w:val="Prrafodelista"/>
        <w:numPr>
          <w:ilvl w:val="0"/>
          <w:numId w:val="7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9F3F5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Presencia de enfermedades transmisibles </w:t>
      </w:r>
      <w:r w:rsidR="008E4D3E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por vía sexual en niños y niñas</w:t>
      </w:r>
      <w:r w:rsidRPr="009F3F5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de 12 y 13 años. </w:t>
      </w:r>
    </w:p>
    <w:p w:rsidR="009F3F59" w:rsidRDefault="009F3F59" w:rsidP="00225F6D">
      <w:pPr>
        <w:pStyle w:val="Prrafodelista"/>
        <w:numPr>
          <w:ilvl w:val="0"/>
          <w:numId w:val="7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Deserción escolar en segundo y tercer año del nivel medio. </w:t>
      </w:r>
    </w:p>
    <w:p w:rsidR="009F3F59" w:rsidRDefault="009F3F59" w:rsidP="00225F6D">
      <w:pPr>
        <w:pStyle w:val="Prrafodelista"/>
        <w:numPr>
          <w:ilvl w:val="0"/>
          <w:numId w:val="7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Enfermedades transmisibles en embarazadas, y dificultades en el acceso al diagnóstico adecuado, seguimiento y cumplimiento de los tratamientos. </w:t>
      </w:r>
    </w:p>
    <w:p w:rsidR="009F3F59" w:rsidRDefault="009F3F59" w:rsidP="00225F6D">
      <w:pPr>
        <w:pStyle w:val="Prrafodelista"/>
        <w:numPr>
          <w:ilvl w:val="0"/>
          <w:numId w:val="7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Normalización y justificaciones de problemáticas como las adicciones, la violencia, los abusos. </w:t>
      </w:r>
    </w:p>
    <w:p w:rsidR="009F3F59" w:rsidRDefault="009F3F59" w:rsidP="00225F6D">
      <w:pPr>
        <w:pStyle w:val="Prrafodelista"/>
        <w:numPr>
          <w:ilvl w:val="0"/>
          <w:numId w:val="7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Elevado índice de suicidios. </w:t>
      </w:r>
    </w:p>
    <w:p w:rsidR="00960AE2" w:rsidRDefault="00960AE2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</w:p>
    <w:p w:rsidR="00CF47FF" w:rsidRDefault="00CF47F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lastRenderedPageBreak/>
        <w:t xml:space="preserve">DIFICULTADES OBSERVADAS EN LA IMPLEMENTACIÓN DEL PROYECTO: </w:t>
      </w:r>
    </w:p>
    <w:p w:rsidR="00CF47FF" w:rsidRDefault="00CF47FF" w:rsidP="00CF47FF">
      <w:pPr>
        <w:pStyle w:val="Prrafodelista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Demoras y burocracia innecesaria para la gestión y asignación de recursos.</w:t>
      </w:r>
    </w:p>
    <w:p w:rsidR="00CF47FF" w:rsidRDefault="00CF47FF" w:rsidP="00CF47FF">
      <w:pPr>
        <w:pStyle w:val="Prrafodelista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Conciencia mágica por parte de </w:t>
      </w:r>
      <w:r w:rsidR="008E4D3E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una fracción 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la Comunidad, en relación a la interpretación y comprensión de determinadas problemáticas. </w:t>
      </w:r>
    </w:p>
    <w:p w:rsidR="00CF47FF" w:rsidRDefault="00CF47FF" w:rsidP="00CF47FF">
      <w:pPr>
        <w:pStyle w:val="Prrafodelista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Imposibilidad, en algunos casos, de reducir o modificar la situación de riesgo, dado por cuestiones estructurales de difícil resolución. </w:t>
      </w:r>
    </w:p>
    <w:p w:rsidR="00CF47FF" w:rsidRDefault="00CF47FF" w:rsidP="00CF47FF">
      <w:pPr>
        <w:pStyle w:val="Prrafodelista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Escasez de recursos económicos, que deben ser repartidos entre distintas áreas municipales. </w:t>
      </w:r>
    </w:p>
    <w:p w:rsidR="00CF47FF" w:rsidRDefault="00CF47FF" w:rsidP="00CF47FF">
      <w:pPr>
        <w:pStyle w:val="Prrafodelista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Dificultades en la comunicación entre el equipo de Salud y otras áreas Municipales. </w:t>
      </w:r>
    </w:p>
    <w:p w:rsidR="00CF47FF" w:rsidRDefault="00CF47FF" w:rsidP="00CF47FF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FORTALEZAS: </w:t>
      </w:r>
    </w:p>
    <w:p w:rsidR="00CF47FF" w:rsidRDefault="00CF47FF" w:rsidP="00CF47FF">
      <w:pPr>
        <w:pStyle w:val="Prrafodelista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Adecuada comunicación dentro del equipo de salud</w:t>
      </w:r>
      <w:r w:rsidR="008E4D3E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.</w:t>
      </w:r>
    </w:p>
    <w:p w:rsidR="00CF47FF" w:rsidRDefault="00CF47FF" w:rsidP="00CF47FF">
      <w:pPr>
        <w:pStyle w:val="Prrafodelista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Buena articulación con las Instituciones educativas. </w:t>
      </w:r>
    </w:p>
    <w:p w:rsidR="00D90BDA" w:rsidRDefault="00D90BDA" w:rsidP="00CF47FF">
      <w:pPr>
        <w:pStyle w:val="Prrafodelista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Capacidad de trabajo y resolución por parte del equipo.</w:t>
      </w:r>
    </w:p>
    <w:p w:rsidR="00D90BDA" w:rsidRDefault="00D90BDA" w:rsidP="00D90BD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</w:p>
    <w:p w:rsidR="00D90BDA" w:rsidRDefault="00D90BDA" w:rsidP="00D90BD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AVANCES OBSERVADOS: </w:t>
      </w:r>
    </w:p>
    <w:p w:rsidR="00D90BDA" w:rsidRDefault="00D90BDA" w:rsidP="00D90BDA">
      <w:pPr>
        <w:pStyle w:val="Prrafodelista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Aumento de la demanda hacia el equipo por parte de las Instituciones educativas, en cuanto a requerimiento de intervención, asesoramiento, derivación, entre otros. </w:t>
      </w:r>
    </w:p>
    <w:p w:rsidR="00D90BDA" w:rsidRDefault="00D90BDA" w:rsidP="00D90BDA">
      <w:pPr>
        <w:pStyle w:val="Prrafodelista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Aumento sostenido en la presencia de las familias en la concurrencia a los talleres. </w:t>
      </w:r>
    </w:p>
    <w:p w:rsidR="00D90BDA" w:rsidRDefault="00D90BDA" w:rsidP="00D90BDA">
      <w:pPr>
        <w:pStyle w:val="Prrafodelista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Posibilidad de articulación entre los distintos niveles. </w:t>
      </w:r>
    </w:p>
    <w:p w:rsidR="00D90BDA" w:rsidRDefault="00D90BDA" w:rsidP="00D90BDA">
      <w:pPr>
        <w:pStyle w:val="Prrafodelista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Mayor articulación en la organización de la agenda anual de trabajo conjunto. </w:t>
      </w:r>
    </w:p>
    <w:p w:rsidR="00D90BDA" w:rsidRDefault="00D90BDA" w:rsidP="00D90BDA">
      <w:pPr>
        <w:pStyle w:val="Prrafodelista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Resolución individual positiva de casos puntuales.</w:t>
      </w:r>
    </w:p>
    <w:p w:rsidR="00D90BDA" w:rsidRDefault="00D90BDA" w:rsidP="00D90BDA">
      <w:pPr>
        <w:pStyle w:val="Prrafodelista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Aumento de la demanda espontánea de las familias hacia el servicio. </w:t>
      </w:r>
    </w:p>
    <w:p w:rsidR="00CF47FF" w:rsidRDefault="00D90BDA" w:rsidP="00D90BD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MODALIDAD DE EVALUACIÓN DE LA INTERVENCIÓN PROFESIONAL: </w:t>
      </w:r>
    </w:p>
    <w:p w:rsidR="00D90BDA" w:rsidRDefault="00D90BDA" w:rsidP="00D90BD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ab/>
        <w:t>A</w:t>
      </w:r>
      <w:r w:rsidR="005F6D7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los efectos de evaluar la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efectividad de las intervenciones,</w:t>
      </w:r>
      <w:r w:rsidR="005F6D79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y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para poder realizar los ajustes pertinentes, se realizan reuniones mensuales de equipo, en las que cada disciplina plantea avances, retrocesos, y dificultades observadas. </w:t>
      </w:r>
    </w:p>
    <w:p w:rsidR="005F6D79" w:rsidRDefault="005F6D79" w:rsidP="00D90BD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lastRenderedPageBreak/>
        <w:t>Cada seis meses se cargan nuevamente los datos para actualizar las estadísticas.</w:t>
      </w:r>
    </w:p>
    <w:p w:rsidR="005F6D79" w:rsidRDefault="005F6D79" w:rsidP="00D90BD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Se revisan los protocolos de intervención, y se realizan los ajustes que se consideren pertinentes. </w:t>
      </w:r>
    </w:p>
    <w:p w:rsidR="005010D9" w:rsidRDefault="000E39DF" w:rsidP="00D90BD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5010D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3FE8AC42" wp14:editId="5C253552">
            <wp:simplePos x="0" y="0"/>
            <wp:positionH relativeFrom="margin">
              <wp:align>left</wp:align>
            </wp:positionH>
            <wp:positionV relativeFrom="paragraph">
              <wp:posOffset>5690</wp:posOffset>
            </wp:positionV>
            <wp:extent cx="3848100" cy="3848100"/>
            <wp:effectExtent l="0" t="0" r="0" b="0"/>
            <wp:wrapSquare wrapText="bothSides"/>
            <wp:docPr id="1" name="Imagen 1" descr="D:\Usuario\Desktop\mCRECIE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esktop\mCRECIEND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0D9" w:rsidRDefault="005010D9" w:rsidP="00D90BD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bookmarkStart w:id="0" w:name="_GoBack"/>
      <w:bookmarkEnd w:id="0"/>
    </w:p>
    <w:p w:rsidR="005F6D79" w:rsidRDefault="000E39DF" w:rsidP="00D90BD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32C1322" wp14:editId="2CE6DFB6">
            <wp:simplePos x="0" y="0"/>
            <wp:positionH relativeFrom="margin">
              <wp:align>left</wp:align>
            </wp:positionH>
            <wp:positionV relativeFrom="paragraph">
              <wp:posOffset>3413216</wp:posOffset>
            </wp:positionV>
            <wp:extent cx="2038350" cy="2457450"/>
            <wp:effectExtent l="0" t="0" r="0" b="0"/>
            <wp:wrapSquare wrapText="bothSides"/>
            <wp:docPr id="84" name="image25.jpg" descr="E:\Bibliotecas\Escritorio\EUGEBOTTALLO\Educarteesvalorarte\WhatsApp Image 2023-07-26 at 10.26.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g" descr="E:\Bibliotecas\Escritorio\EUGEBOTTALLO\Educarteesvalorarte\WhatsApp Image 2023-07-26 at 10.26.52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457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7FF" w:rsidRDefault="00CF47FF">
      <w:r>
        <w:lastRenderedPageBreak/>
        <w:t xml:space="preserve"> </w:t>
      </w:r>
      <w:r w:rsidR="005010D9">
        <w:rPr>
          <w:noProof/>
          <w:lang w:eastAsia="es-ES"/>
        </w:rPr>
        <w:drawing>
          <wp:inline distT="0" distB="0" distL="0" distR="0" wp14:anchorId="12A0B36F" wp14:editId="3A1055FB">
            <wp:extent cx="4914900" cy="2493645"/>
            <wp:effectExtent l="0" t="0" r="0" b="1905"/>
            <wp:docPr id="80" name="image32.jpg" descr="E:\Bibliotecas\Escritorio\EUGEBOTTALLO\Educarteesvalorarte\WhatsApp Image 2023-07-26 at 10.27.40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jpg" descr="E:\Bibliotecas\Escritorio\EUGEBOTTALLO\Educarteesvalorarte\WhatsApp Image 2023-07-26 at 10.27.40 (2)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5005" cy="24936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010D9">
        <w:rPr>
          <w:noProof/>
          <w:lang w:eastAsia="es-ES"/>
        </w:rPr>
        <w:drawing>
          <wp:inline distT="0" distB="0" distL="0" distR="0" wp14:anchorId="4CDF0EB3" wp14:editId="2443BA8D">
            <wp:extent cx="3190875" cy="2286000"/>
            <wp:effectExtent l="0" t="0" r="9525" b="0"/>
            <wp:docPr id="86" name="image41.jpg" descr="E:\Bibliotecas\Escritorio\EUGEBOTTALLO\Educarteesvalorarte\WhatsApp Image 2023-07-26 at 10.23.12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jpg" descr="E:\Bibliotecas\Escritorio\EUGEBOTTALLO\Educarteesvalorarte\WhatsApp Image 2023-07-26 at 10.23.12 (2)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1369" cy="22863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010D9">
        <w:rPr>
          <w:noProof/>
          <w:lang w:eastAsia="es-ES"/>
        </w:rPr>
        <w:drawing>
          <wp:inline distT="0" distB="0" distL="0" distR="0" wp14:anchorId="426541C4" wp14:editId="4198C2C9">
            <wp:extent cx="3190875" cy="2942590"/>
            <wp:effectExtent l="0" t="0" r="9525" b="0"/>
            <wp:docPr id="69" name="image13.jpg" descr="E:\Bibliotecas\Escritorio\EUGEBOTTALLO\archivofotgrafico\WhatsApp Image 2022-09-19 at 10.13.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 descr="E:\Bibliotecas\Escritorio\EUGEBOTTALLO\archivofotgrafico\WhatsApp Image 2022-09-19 at 10.13.38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1282" cy="2942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F47FF" w:rsidSect="008E4D3E">
      <w:head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B4C" w:rsidRDefault="00A12B4C" w:rsidP="008E4D3E">
      <w:pPr>
        <w:spacing w:after="0" w:line="240" w:lineRule="auto"/>
      </w:pPr>
      <w:r>
        <w:separator/>
      </w:r>
    </w:p>
  </w:endnote>
  <w:endnote w:type="continuationSeparator" w:id="0">
    <w:p w:rsidR="00A12B4C" w:rsidRDefault="00A12B4C" w:rsidP="008E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B4C" w:rsidRDefault="00A12B4C" w:rsidP="008E4D3E">
      <w:pPr>
        <w:spacing w:after="0" w:line="240" w:lineRule="auto"/>
      </w:pPr>
      <w:r>
        <w:separator/>
      </w:r>
    </w:p>
  </w:footnote>
  <w:footnote w:type="continuationSeparator" w:id="0">
    <w:p w:rsidR="00A12B4C" w:rsidRDefault="00A12B4C" w:rsidP="008E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1153701"/>
      <w:docPartObj>
        <w:docPartGallery w:val="Page Numbers (Top of Page)"/>
        <w:docPartUnique/>
      </w:docPartObj>
    </w:sdtPr>
    <w:sdtContent>
      <w:p w:rsidR="008E4D3E" w:rsidRDefault="008E4D3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9DF">
          <w:rPr>
            <w:noProof/>
          </w:rPr>
          <w:t>6</w:t>
        </w:r>
        <w:r>
          <w:fldChar w:fldCharType="end"/>
        </w:r>
      </w:p>
    </w:sdtContent>
  </w:sdt>
  <w:p w:rsidR="008E4D3E" w:rsidRDefault="008E4D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pt;height:11.2pt" o:bullet="t">
        <v:imagedata r:id="rId1" o:title="mso3778"/>
      </v:shape>
    </w:pict>
  </w:numPicBullet>
  <w:abstractNum w:abstractNumId="0">
    <w:nsid w:val="06116186"/>
    <w:multiLevelType w:val="hybridMultilevel"/>
    <w:tmpl w:val="167E23D0"/>
    <w:lvl w:ilvl="0" w:tplc="0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DE37A8"/>
    <w:multiLevelType w:val="hybridMultilevel"/>
    <w:tmpl w:val="F18650FE"/>
    <w:lvl w:ilvl="0" w:tplc="0C0A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21F15F97"/>
    <w:multiLevelType w:val="hybridMultilevel"/>
    <w:tmpl w:val="E87A2C8A"/>
    <w:lvl w:ilvl="0" w:tplc="0338C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02BBC"/>
    <w:multiLevelType w:val="multilevel"/>
    <w:tmpl w:val="32AC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A33DD"/>
    <w:multiLevelType w:val="multilevel"/>
    <w:tmpl w:val="EB2A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B5E10"/>
    <w:multiLevelType w:val="multilevel"/>
    <w:tmpl w:val="A0A2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65401A"/>
    <w:multiLevelType w:val="hybridMultilevel"/>
    <w:tmpl w:val="A96C1D10"/>
    <w:lvl w:ilvl="0" w:tplc="0C0A0009">
      <w:start w:val="1"/>
      <w:numFmt w:val="bullet"/>
      <w:lvlText w:val=""/>
      <w:lvlJc w:val="left"/>
      <w:pPr>
        <w:ind w:left="21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61501819"/>
    <w:multiLevelType w:val="multilevel"/>
    <w:tmpl w:val="577C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2497C"/>
    <w:multiLevelType w:val="hybridMultilevel"/>
    <w:tmpl w:val="D7C2AA0C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310862"/>
    <w:multiLevelType w:val="hybridMultilevel"/>
    <w:tmpl w:val="742E9F5C"/>
    <w:lvl w:ilvl="0" w:tplc="0C0A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75010149"/>
    <w:multiLevelType w:val="hybridMultilevel"/>
    <w:tmpl w:val="0A7EC2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D34AF"/>
    <w:multiLevelType w:val="hybridMultilevel"/>
    <w:tmpl w:val="A724911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1"/>
  </w:num>
  <w:num w:numId="7">
    <w:abstractNumId w:val="2"/>
  </w:num>
  <w:num w:numId="8">
    <w:abstractNumId w:val="8"/>
  </w:num>
  <w:num w:numId="9">
    <w:abstractNumId w:val="11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58"/>
    <w:rsid w:val="000E39DF"/>
    <w:rsid w:val="0021106B"/>
    <w:rsid w:val="002D6869"/>
    <w:rsid w:val="002F6AC0"/>
    <w:rsid w:val="003B2799"/>
    <w:rsid w:val="004069BA"/>
    <w:rsid w:val="00423104"/>
    <w:rsid w:val="00480E0D"/>
    <w:rsid w:val="005010D9"/>
    <w:rsid w:val="00563A4E"/>
    <w:rsid w:val="005F6D79"/>
    <w:rsid w:val="007553A1"/>
    <w:rsid w:val="00876210"/>
    <w:rsid w:val="008E4D3E"/>
    <w:rsid w:val="00960AE2"/>
    <w:rsid w:val="00990BFF"/>
    <w:rsid w:val="009B2203"/>
    <w:rsid w:val="009F3F59"/>
    <w:rsid w:val="00A12B4C"/>
    <w:rsid w:val="00AD1758"/>
    <w:rsid w:val="00AE1EE7"/>
    <w:rsid w:val="00C31861"/>
    <w:rsid w:val="00C95359"/>
    <w:rsid w:val="00CF47FF"/>
    <w:rsid w:val="00D90BDA"/>
    <w:rsid w:val="00EB5395"/>
    <w:rsid w:val="00F5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D6AAF-EF23-4B43-BEB1-49FC8CC0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18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4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D3E"/>
  </w:style>
  <w:style w:type="paragraph" w:styleId="Piedepgina">
    <w:name w:val="footer"/>
    <w:basedOn w:val="Normal"/>
    <w:link w:val="PiedepginaCar"/>
    <w:uiPriority w:val="99"/>
    <w:unhideWhenUsed/>
    <w:rsid w:val="008E4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8548">
          <w:marLeft w:val="172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088">
          <w:marLeft w:val="172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1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5371">
          <w:marLeft w:val="172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6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370">
          <w:marLeft w:val="172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58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003">
          <w:marLeft w:val="172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8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444">
          <w:marLeft w:val="172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0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295">
          <w:marLeft w:val="172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7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691">
          <w:marLeft w:val="172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038">
          <w:marLeft w:val="172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8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634">
          <w:marLeft w:val="172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7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205">
          <w:marLeft w:val="172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bottallo@gmail.com" TargetMode="External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hyperlink" Target="mailto:licbottallo@gmail.com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1286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</dc:creator>
  <cp:keywords/>
  <dc:description/>
  <cp:lastModifiedBy>Maria Eugenia</cp:lastModifiedBy>
  <cp:revision>5</cp:revision>
  <dcterms:created xsi:type="dcterms:W3CDTF">2025-07-04T21:18:00Z</dcterms:created>
  <dcterms:modified xsi:type="dcterms:W3CDTF">2025-07-04T21:59:00Z</dcterms:modified>
</cp:coreProperties>
</file>