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7B11B" w14:textId="77777777" w:rsidR="00414A02" w:rsidRDefault="00414A02">
      <w:pPr>
        <w:spacing w:line="360" w:lineRule="auto"/>
        <w:jc w:val="center"/>
        <w:rPr>
          <w:rFonts w:ascii="Arial" w:eastAsia="Arial" w:hAnsi="Arial"/>
          <w:b/>
          <w:sz w:val="28"/>
          <w:lang w:val="es-AR"/>
        </w:rPr>
      </w:pPr>
    </w:p>
    <w:p w14:paraId="0822562B" w14:textId="77777777" w:rsidR="00414A02" w:rsidRDefault="00414A02">
      <w:pPr>
        <w:spacing w:line="360" w:lineRule="auto"/>
        <w:jc w:val="center"/>
        <w:rPr>
          <w:rFonts w:ascii="Arial" w:eastAsia="Arial" w:hAnsi="Arial"/>
          <w:b/>
          <w:sz w:val="28"/>
          <w:lang w:val="es-AR"/>
        </w:rPr>
      </w:pPr>
    </w:p>
    <w:p w14:paraId="28505EC1" w14:textId="6544B2C0" w:rsidR="00C749E0" w:rsidRPr="00214BEE" w:rsidRDefault="00214BEE">
      <w:pPr>
        <w:spacing w:line="360" w:lineRule="auto"/>
        <w:jc w:val="center"/>
        <w:rPr>
          <w:lang w:val="es-AR"/>
        </w:rPr>
      </w:pPr>
      <w:r w:rsidRPr="00214BEE">
        <w:rPr>
          <w:rFonts w:ascii="Arial" w:eastAsia="Arial" w:hAnsi="Arial"/>
          <w:b/>
          <w:sz w:val="28"/>
          <w:lang w:val="es-AR"/>
        </w:rPr>
        <w:t>HAGAMOS EXPERIENCIAS TRANSMEDIA</w:t>
      </w:r>
    </w:p>
    <w:p w14:paraId="2E4FCF42" w14:textId="690F610B" w:rsidR="00C749E0" w:rsidRPr="00955558" w:rsidRDefault="00214BEE">
      <w:pPr>
        <w:spacing w:line="360" w:lineRule="auto"/>
        <w:jc w:val="center"/>
        <w:rPr>
          <w:lang w:val="es-AR"/>
        </w:rPr>
      </w:pPr>
      <w:r w:rsidRPr="00955558">
        <w:rPr>
          <w:rFonts w:ascii="Arial" w:eastAsia="Arial" w:hAnsi="Arial"/>
          <w:b/>
          <w:sz w:val="28"/>
          <w:lang w:val="es-AR"/>
        </w:rPr>
        <w:t>LET’S MAKE TRANSMEDIA EXPERIENCES</w:t>
      </w:r>
    </w:p>
    <w:p w14:paraId="2CB2073C" w14:textId="7C75B909" w:rsidR="00955558" w:rsidRDefault="00955558" w:rsidP="00414A02">
      <w:pPr>
        <w:spacing w:line="360" w:lineRule="auto"/>
        <w:jc w:val="center"/>
        <w:rPr>
          <w:rFonts w:ascii="Arial" w:eastAsia="Arial" w:hAnsi="Arial"/>
          <w:b/>
          <w:sz w:val="28"/>
          <w:lang w:val="es-AR"/>
        </w:rPr>
      </w:pPr>
      <w:r w:rsidRPr="00955558">
        <w:rPr>
          <w:rFonts w:ascii="Arial" w:eastAsia="Arial" w:hAnsi="Arial"/>
          <w:b/>
          <w:sz w:val="28"/>
          <w:lang w:val="es-AR"/>
        </w:rPr>
        <w:t>FAÇAMOS EXPERIÊNCIAS TRANSMÍDIA</w:t>
      </w:r>
    </w:p>
    <w:p w14:paraId="077B8755" w14:textId="2305B308" w:rsidR="00414A02" w:rsidRDefault="00414A02" w:rsidP="00414A02">
      <w:pPr>
        <w:spacing w:line="360" w:lineRule="auto"/>
        <w:jc w:val="center"/>
        <w:rPr>
          <w:lang w:val="es-AR"/>
        </w:rPr>
      </w:pPr>
      <w:r w:rsidRPr="00414A02">
        <w:rPr>
          <w:highlight w:val="yellow"/>
          <w:lang w:val="es-AR"/>
        </w:rPr>
        <w:t>Autor 1</w:t>
      </w:r>
      <w:r w:rsidRPr="00414A02">
        <w:rPr>
          <w:rStyle w:val="Refdenotaalpie"/>
          <w:highlight w:val="yellow"/>
          <w:lang w:val="es-AR"/>
        </w:rPr>
        <w:footnoteReference w:id="1"/>
      </w:r>
      <w:r w:rsidRPr="00414A02">
        <w:rPr>
          <w:highlight w:val="yellow"/>
          <w:lang w:val="es-AR"/>
        </w:rPr>
        <w:t>, Autor 2</w:t>
      </w:r>
      <w:r w:rsidRPr="00414A02">
        <w:rPr>
          <w:rStyle w:val="Refdenotaalpie"/>
          <w:highlight w:val="yellow"/>
          <w:lang w:val="es-AR"/>
        </w:rPr>
        <w:footnoteReference w:id="2"/>
      </w:r>
      <w:r w:rsidRPr="00414A02">
        <w:rPr>
          <w:highlight w:val="yellow"/>
          <w:lang w:val="es-AR"/>
        </w:rPr>
        <w:t>, Autor 3</w:t>
      </w:r>
      <w:r w:rsidRPr="00414A02">
        <w:rPr>
          <w:rStyle w:val="Refdenotaalpie"/>
          <w:highlight w:val="yellow"/>
          <w:lang w:val="es-AR"/>
        </w:rPr>
        <w:footnoteReference w:id="3"/>
      </w:r>
      <w:r>
        <w:rPr>
          <w:lang w:val="es-AR"/>
        </w:rPr>
        <w:t xml:space="preserve"> </w:t>
      </w:r>
    </w:p>
    <w:p w14:paraId="290379B5" w14:textId="77777777" w:rsidR="00414A02" w:rsidRDefault="00414A02" w:rsidP="00414A02">
      <w:pPr>
        <w:spacing w:line="360" w:lineRule="auto"/>
        <w:jc w:val="center"/>
        <w:rPr>
          <w:lang w:val="es-AR"/>
        </w:rPr>
      </w:pPr>
      <w:r w:rsidRPr="00414A02">
        <w:rPr>
          <w:highlight w:val="yellow"/>
          <w:lang w:val="es-AR"/>
        </w:rPr>
        <w:t>No colocar los datos de los autores para garantizar la evaluación a doble ciego</w:t>
      </w:r>
    </w:p>
    <w:p w14:paraId="717A7CBA" w14:textId="2E9DF40A" w:rsidR="00C749E0" w:rsidRPr="00955558" w:rsidRDefault="00EF7B17" w:rsidP="00955558">
      <w:pPr>
        <w:spacing w:line="360" w:lineRule="auto"/>
        <w:rPr>
          <w:rFonts w:ascii="Arial" w:eastAsia="Arial" w:hAnsi="Arial"/>
          <w:lang w:val="es-AR"/>
        </w:rPr>
      </w:pPr>
      <w:r w:rsidRPr="00414A02">
        <w:rPr>
          <w:rFonts w:ascii="Arial" w:eastAsia="Arial" w:hAnsi="Arial"/>
          <w:lang w:val="es-AR"/>
        </w:rPr>
        <w:t xml:space="preserve">Palabras clave: </w:t>
      </w:r>
      <w:r w:rsidR="00955558" w:rsidRPr="00955558">
        <w:rPr>
          <w:rFonts w:ascii="Arial" w:eastAsia="Arial" w:hAnsi="Arial"/>
          <w:lang w:val="es-AR"/>
        </w:rPr>
        <w:t>Experiencias transmedia</w:t>
      </w:r>
      <w:r w:rsidR="00955558">
        <w:rPr>
          <w:rFonts w:ascii="Arial" w:eastAsia="Arial" w:hAnsi="Arial"/>
          <w:lang w:val="es-AR"/>
        </w:rPr>
        <w:t xml:space="preserve">; </w:t>
      </w:r>
      <w:r w:rsidR="00955558" w:rsidRPr="00955558">
        <w:rPr>
          <w:rFonts w:ascii="Arial" w:eastAsia="Arial" w:hAnsi="Arial"/>
          <w:lang w:val="es-AR"/>
        </w:rPr>
        <w:t>Mundos narrativos</w:t>
      </w:r>
      <w:r w:rsidR="00955558">
        <w:rPr>
          <w:rFonts w:ascii="Arial" w:eastAsia="Arial" w:hAnsi="Arial"/>
          <w:lang w:val="es-AR"/>
        </w:rPr>
        <w:t xml:space="preserve">; </w:t>
      </w:r>
      <w:r w:rsidR="00955558" w:rsidRPr="00955558">
        <w:rPr>
          <w:rFonts w:ascii="Arial" w:eastAsia="Arial" w:hAnsi="Arial"/>
          <w:lang w:val="es-AR"/>
        </w:rPr>
        <w:t>Comunidade</w:t>
      </w:r>
      <w:r w:rsidR="00955558">
        <w:rPr>
          <w:rFonts w:ascii="Arial" w:eastAsia="Arial" w:hAnsi="Arial"/>
          <w:lang w:val="es-AR"/>
        </w:rPr>
        <w:t xml:space="preserve">s; </w:t>
      </w:r>
      <w:r w:rsidR="00955558" w:rsidRPr="00955558">
        <w:rPr>
          <w:rFonts w:ascii="Arial" w:eastAsia="Arial" w:hAnsi="Arial"/>
          <w:lang w:val="es-AR"/>
        </w:rPr>
        <w:t>Plataformas digitales</w:t>
      </w:r>
      <w:r w:rsidR="00955558">
        <w:rPr>
          <w:rFonts w:ascii="Arial" w:eastAsia="Arial" w:hAnsi="Arial"/>
          <w:lang w:val="es-AR"/>
        </w:rPr>
        <w:t xml:space="preserve">; </w:t>
      </w:r>
      <w:r w:rsidR="00955558" w:rsidRPr="00955558">
        <w:rPr>
          <w:rFonts w:ascii="Arial" w:eastAsia="Arial" w:hAnsi="Arial"/>
          <w:lang w:val="es-AR"/>
        </w:rPr>
        <w:t>Investigación orientada por las prácticas</w:t>
      </w:r>
      <w:r w:rsidRPr="00C209FE">
        <w:rPr>
          <w:rFonts w:ascii="Arial" w:eastAsia="Arial" w:hAnsi="Arial"/>
          <w:lang w:val="es-AR"/>
        </w:rPr>
        <w:t>.</w:t>
      </w:r>
    </w:p>
    <w:p w14:paraId="4F55AEF0" w14:textId="381D95FC" w:rsidR="00955558" w:rsidRPr="00955558" w:rsidRDefault="00955558" w:rsidP="00955558">
      <w:pPr>
        <w:spacing w:line="360" w:lineRule="auto"/>
        <w:rPr>
          <w:rFonts w:ascii="Arial" w:eastAsia="Arial" w:hAnsi="Arial"/>
          <w:lang w:val="en-GB"/>
        </w:rPr>
      </w:pPr>
      <w:r w:rsidRPr="00955558">
        <w:rPr>
          <w:rFonts w:ascii="Arial" w:eastAsia="Arial" w:hAnsi="Arial"/>
          <w:lang w:val="en-GB"/>
        </w:rPr>
        <w:t>Keywords: Transmedia experiences</w:t>
      </w:r>
      <w:r>
        <w:rPr>
          <w:rFonts w:ascii="Arial" w:eastAsia="Arial" w:hAnsi="Arial"/>
          <w:lang w:val="en-GB"/>
        </w:rPr>
        <w:t xml:space="preserve">; </w:t>
      </w:r>
      <w:r w:rsidRPr="00955558">
        <w:rPr>
          <w:rFonts w:ascii="Arial" w:eastAsia="Arial" w:hAnsi="Arial"/>
          <w:lang w:val="en-GB"/>
        </w:rPr>
        <w:t>Storyworlds</w:t>
      </w:r>
      <w:r>
        <w:rPr>
          <w:rFonts w:ascii="Arial" w:eastAsia="Arial" w:hAnsi="Arial"/>
          <w:lang w:val="en-GB"/>
        </w:rPr>
        <w:t>; C</w:t>
      </w:r>
      <w:r w:rsidRPr="00955558">
        <w:rPr>
          <w:rFonts w:ascii="Arial" w:eastAsia="Arial" w:hAnsi="Arial"/>
          <w:lang w:val="en-GB"/>
        </w:rPr>
        <w:t>ommunities</w:t>
      </w:r>
      <w:r>
        <w:rPr>
          <w:rFonts w:ascii="Arial" w:eastAsia="Arial" w:hAnsi="Arial"/>
          <w:lang w:val="en-GB"/>
        </w:rPr>
        <w:t xml:space="preserve">; </w:t>
      </w:r>
      <w:r w:rsidRPr="00955558">
        <w:rPr>
          <w:rFonts w:ascii="Arial" w:eastAsia="Arial" w:hAnsi="Arial"/>
          <w:lang w:val="en-GB"/>
        </w:rPr>
        <w:t>Digital platforms</w:t>
      </w:r>
      <w:r>
        <w:rPr>
          <w:rFonts w:ascii="Arial" w:eastAsia="Arial" w:hAnsi="Arial"/>
          <w:lang w:val="en-GB"/>
        </w:rPr>
        <w:t xml:space="preserve">; </w:t>
      </w:r>
      <w:r w:rsidRPr="00955558">
        <w:rPr>
          <w:rFonts w:ascii="Arial" w:eastAsia="Arial" w:hAnsi="Arial"/>
          <w:lang w:val="en-GB"/>
        </w:rPr>
        <w:t>Practice-oriented research</w:t>
      </w:r>
    </w:p>
    <w:p w14:paraId="030FD7EC" w14:textId="2E707AC2" w:rsidR="00C749E0" w:rsidRPr="00955558" w:rsidRDefault="00EF7B17">
      <w:pPr>
        <w:spacing w:line="360" w:lineRule="auto"/>
        <w:rPr>
          <w:lang w:val="es-AR"/>
        </w:rPr>
      </w:pPr>
      <w:proofErr w:type="spellStart"/>
      <w:r w:rsidRPr="00955558">
        <w:rPr>
          <w:rFonts w:ascii="Arial" w:eastAsia="Arial" w:hAnsi="Arial"/>
          <w:lang w:val="es-AR"/>
        </w:rPr>
        <w:t>Palavras</w:t>
      </w:r>
      <w:proofErr w:type="spellEnd"/>
      <w:r w:rsidRPr="00955558">
        <w:rPr>
          <w:rFonts w:ascii="Arial" w:eastAsia="Arial" w:hAnsi="Arial"/>
          <w:lang w:val="es-AR"/>
        </w:rPr>
        <w:t xml:space="preserve">-chave: </w:t>
      </w:r>
      <w:proofErr w:type="spellStart"/>
      <w:r w:rsidR="00955558" w:rsidRPr="00955558">
        <w:rPr>
          <w:rFonts w:ascii="Arial" w:eastAsia="Arial" w:hAnsi="Arial"/>
          <w:lang w:val="es-AR"/>
        </w:rPr>
        <w:t>Experiências</w:t>
      </w:r>
      <w:proofErr w:type="spellEnd"/>
      <w:r w:rsidR="00955558" w:rsidRPr="00955558">
        <w:rPr>
          <w:rFonts w:ascii="Arial" w:eastAsia="Arial" w:hAnsi="Arial"/>
          <w:lang w:val="es-AR"/>
        </w:rPr>
        <w:t xml:space="preserve"> </w:t>
      </w:r>
      <w:proofErr w:type="spellStart"/>
      <w:r w:rsidR="00955558" w:rsidRPr="00955558">
        <w:rPr>
          <w:rFonts w:ascii="Arial" w:eastAsia="Arial" w:hAnsi="Arial"/>
          <w:lang w:val="es-AR"/>
        </w:rPr>
        <w:t>transmídia</w:t>
      </w:r>
      <w:proofErr w:type="spellEnd"/>
      <w:r w:rsidR="00955558">
        <w:rPr>
          <w:rFonts w:ascii="Arial" w:eastAsia="Arial" w:hAnsi="Arial"/>
          <w:lang w:val="es-AR"/>
        </w:rPr>
        <w:t xml:space="preserve">; </w:t>
      </w:r>
      <w:r w:rsidR="00955558" w:rsidRPr="00955558">
        <w:rPr>
          <w:rFonts w:ascii="Arial" w:eastAsia="Arial" w:hAnsi="Arial"/>
          <w:lang w:val="es-AR"/>
        </w:rPr>
        <w:t>Mundos narrativos</w:t>
      </w:r>
      <w:r w:rsidR="00955558">
        <w:rPr>
          <w:rFonts w:ascii="Arial" w:eastAsia="Arial" w:hAnsi="Arial"/>
          <w:lang w:val="es-AR"/>
        </w:rPr>
        <w:t xml:space="preserve">; </w:t>
      </w:r>
      <w:r w:rsidR="00955558" w:rsidRPr="00955558">
        <w:rPr>
          <w:rFonts w:ascii="Arial" w:eastAsia="Arial" w:hAnsi="Arial"/>
          <w:lang w:val="es-AR"/>
        </w:rPr>
        <w:t>Comunidades</w:t>
      </w:r>
      <w:r w:rsidR="00955558">
        <w:rPr>
          <w:rFonts w:ascii="Arial" w:eastAsia="Arial" w:hAnsi="Arial"/>
          <w:lang w:val="es-AR"/>
        </w:rPr>
        <w:t xml:space="preserve">; </w:t>
      </w:r>
      <w:r w:rsidR="00955558" w:rsidRPr="00955558">
        <w:rPr>
          <w:rFonts w:ascii="Arial" w:eastAsia="Arial" w:hAnsi="Arial"/>
          <w:lang w:val="es-AR"/>
        </w:rPr>
        <w:t xml:space="preserve">Plataformas </w:t>
      </w:r>
      <w:proofErr w:type="spellStart"/>
      <w:r w:rsidR="00955558" w:rsidRPr="00955558">
        <w:rPr>
          <w:rFonts w:ascii="Arial" w:eastAsia="Arial" w:hAnsi="Arial"/>
          <w:lang w:val="es-AR"/>
        </w:rPr>
        <w:t>digitais</w:t>
      </w:r>
      <w:proofErr w:type="spellEnd"/>
      <w:r w:rsidR="00955558">
        <w:rPr>
          <w:rFonts w:ascii="Arial" w:eastAsia="Arial" w:hAnsi="Arial"/>
          <w:lang w:val="es-AR"/>
        </w:rPr>
        <w:t xml:space="preserve">; </w:t>
      </w:r>
      <w:r w:rsidR="00955558" w:rsidRPr="00955558">
        <w:rPr>
          <w:rFonts w:ascii="Arial" w:eastAsia="Arial" w:hAnsi="Arial"/>
          <w:lang w:val="es-AR"/>
        </w:rPr>
        <w:t xml:space="preserve">Pesquisa orientada pelas </w:t>
      </w:r>
      <w:proofErr w:type="spellStart"/>
      <w:r w:rsidR="00955558" w:rsidRPr="00955558">
        <w:rPr>
          <w:rFonts w:ascii="Arial" w:eastAsia="Arial" w:hAnsi="Arial"/>
          <w:lang w:val="es-AR"/>
        </w:rPr>
        <w:t>práticas</w:t>
      </w:r>
      <w:proofErr w:type="spellEnd"/>
      <w:r w:rsidRPr="00955558">
        <w:rPr>
          <w:rFonts w:ascii="Arial" w:eastAsia="Arial" w:hAnsi="Arial"/>
          <w:lang w:val="es-AR"/>
        </w:rPr>
        <w:t>.</w:t>
      </w:r>
    </w:p>
    <w:p w14:paraId="11DB1F07" w14:textId="77777777" w:rsidR="00C749E0" w:rsidRPr="00414A02" w:rsidRDefault="00EF7B17">
      <w:pPr>
        <w:spacing w:line="360" w:lineRule="auto"/>
        <w:rPr>
          <w:lang w:val="es-AR"/>
        </w:rPr>
      </w:pPr>
      <w:r w:rsidRPr="00414A02">
        <w:rPr>
          <w:rFonts w:ascii="Arial" w:eastAsia="Arial" w:hAnsi="Arial"/>
          <w:b/>
          <w:sz w:val="24"/>
          <w:lang w:val="es-AR"/>
        </w:rPr>
        <w:t>RESUMEN EXTENDIDO (mínimo 600 palabras – máximo 1500 palabras)</w:t>
      </w:r>
    </w:p>
    <w:p w14:paraId="556BCEBA" w14:textId="5C52BA20" w:rsidR="00CB3806" w:rsidRPr="00CB3806" w:rsidRDefault="00CB3806" w:rsidP="00CB3806">
      <w:pPr>
        <w:spacing w:line="360" w:lineRule="auto"/>
        <w:jc w:val="both"/>
        <w:rPr>
          <w:rFonts w:ascii="Arial" w:eastAsia="Arial" w:hAnsi="Arial"/>
          <w:sz w:val="24"/>
          <w:lang w:val="es-AR"/>
        </w:rPr>
      </w:pPr>
      <w:r w:rsidRPr="00CB3806">
        <w:rPr>
          <w:rFonts w:ascii="Arial" w:eastAsia="Arial" w:hAnsi="Arial"/>
          <w:sz w:val="24"/>
          <w:lang w:val="es-AR"/>
        </w:rPr>
        <w:t xml:space="preserve">Hace cincuenta años, el epistemólogo norteamericano Paul Feyerabend publicaba un ensayo de carácter marcadamente disruptivo, titulado </w:t>
      </w:r>
      <w:r w:rsidR="00F15DD6">
        <w:rPr>
          <w:rFonts w:ascii="Arial" w:eastAsia="Arial" w:hAnsi="Arial"/>
          <w:sz w:val="24"/>
          <w:lang w:val="es-AR"/>
        </w:rPr>
        <w:t>“</w:t>
      </w:r>
      <w:proofErr w:type="spellStart"/>
      <w:r w:rsidRPr="006268B1">
        <w:rPr>
          <w:rFonts w:ascii="Arial" w:eastAsia="Arial" w:hAnsi="Arial"/>
          <w:i/>
          <w:iCs/>
          <w:sz w:val="24"/>
          <w:lang w:val="es-AR"/>
        </w:rPr>
        <w:t>Let's</w:t>
      </w:r>
      <w:proofErr w:type="spellEnd"/>
      <w:r w:rsidRPr="006268B1">
        <w:rPr>
          <w:rFonts w:ascii="Arial" w:eastAsia="Arial" w:hAnsi="Arial"/>
          <w:i/>
          <w:iCs/>
          <w:sz w:val="24"/>
          <w:lang w:val="es-AR"/>
        </w:rPr>
        <w:t xml:space="preserve"> </w:t>
      </w:r>
      <w:proofErr w:type="spellStart"/>
      <w:r w:rsidRPr="006268B1">
        <w:rPr>
          <w:rFonts w:ascii="Arial" w:eastAsia="Arial" w:hAnsi="Arial"/>
          <w:i/>
          <w:iCs/>
          <w:sz w:val="24"/>
          <w:lang w:val="es-AR"/>
        </w:rPr>
        <w:t>Make</w:t>
      </w:r>
      <w:proofErr w:type="spellEnd"/>
      <w:r w:rsidRPr="006268B1">
        <w:rPr>
          <w:rFonts w:ascii="Arial" w:eastAsia="Arial" w:hAnsi="Arial"/>
          <w:i/>
          <w:iCs/>
          <w:sz w:val="24"/>
          <w:lang w:val="es-AR"/>
        </w:rPr>
        <w:t xml:space="preserve"> </w:t>
      </w:r>
      <w:proofErr w:type="spellStart"/>
      <w:r w:rsidRPr="006268B1">
        <w:rPr>
          <w:rFonts w:ascii="Arial" w:eastAsia="Arial" w:hAnsi="Arial"/>
          <w:i/>
          <w:iCs/>
          <w:sz w:val="24"/>
          <w:lang w:val="es-AR"/>
        </w:rPr>
        <w:t>Movies</w:t>
      </w:r>
      <w:proofErr w:type="spellEnd"/>
      <w:r w:rsidR="00F15DD6">
        <w:rPr>
          <w:rFonts w:ascii="Arial" w:eastAsia="Arial" w:hAnsi="Arial"/>
          <w:sz w:val="24"/>
          <w:lang w:val="es-AR"/>
        </w:rPr>
        <w:t>” (Bontempo &amp; Odell, 1975)</w:t>
      </w:r>
      <w:r w:rsidRPr="00CB3806">
        <w:rPr>
          <w:rFonts w:ascii="Arial" w:eastAsia="Arial" w:hAnsi="Arial"/>
          <w:sz w:val="24"/>
          <w:lang w:val="es-AR"/>
        </w:rPr>
        <w:t xml:space="preserve">. Retomamos aquí su gesto inaugural porque consideramos que sigue iluminando problemas centrales de la teoría del conocimiento contemporánea. Feyerabend planteaba, a partir de una comparación entre el discurso epistemológico canónico y el </w:t>
      </w:r>
      <w:r w:rsidR="00F15DD6">
        <w:rPr>
          <w:rFonts w:ascii="Arial" w:eastAsia="Arial" w:hAnsi="Arial"/>
          <w:sz w:val="24"/>
          <w:lang w:val="es-AR"/>
        </w:rPr>
        <w:t>“</w:t>
      </w:r>
      <w:r w:rsidRPr="00CB3806">
        <w:rPr>
          <w:rFonts w:ascii="Arial" w:eastAsia="Arial" w:hAnsi="Arial"/>
          <w:sz w:val="24"/>
          <w:lang w:val="es-AR"/>
        </w:rPr>
        <w:t>Galileo</w:t>
      </w:r>
      <w:r w:rsidR="00F15DD6">
        <w:rPr>
          <w:rFonts w:ascii="Arial" w:eastAsia="Arial" w:hAnsi="Arial"/>
          <w:sz w:val="24"/>
          <w:lang w:val="es-AR"/>
        </w:rPr>
        <w:t>”</w:t>
      </w:r>
      <w:r w:rsidRPr="00CB3806">
        <w:rPr>
          <w:rFonts w:ascii="Arial" w:eastAsia="Arial" w:hAnsi="Arial"/>
          <w:sz w:val="24"/>
          <w:lang w:val="es-AR"/>
        </w:rPr>
        <w:t xml:space="preserve"> de Bertolt Brecht</w:t>
      </w:r>
      <w:r w:rsidR="00F15DD6">
        <w:rPr>
          <w:rFonts w:ascii="Arial" w:eastAsia="Arial" w:hAnsi="Arial"/>
          <w:sz w:val="24"/>
          <w:lang w:val="es-AR"/>
        </w:rPr>
        <w:t xml:space="preserve"> (2010)</w:t>
      </w:r>
      <w:r w:rsidRPr="00CB3806">
        <w:rPr>
          <w:rFonts w:ascii="Arial" w:eastAsia="Arial" w:hAnsi="Arial"/>
          <w:sz w:val="24"/>
          <w:lang w:val="es-AR"/>
        </w:rPr>
        <w:t>, que "</w:t>
      </w:r>
      <w:r w:rsidRPr="00F15DD6">
        <w:rPr>
          <w:rFonts w:ascii="Arial" w:eastAsia="Arial" w:hAnsi="Arial"/>
          <w:i/>
          <w:iCs/>
          <w:sz w:val="24"/>
          <w:lang w:val="es-AR"/>
        </w:rPr>
        <w:t>por la presión de las profesiones y por el clima general de una época liberal-científica para escuchar a la razón</w:t>
      </w:r>
      <w:r w:rsidRPr="00CB3806">
        <w:rPr>
          <w:rFonts w:ascii="Arial" w:eastAsia="Arial" w:hAnsi="Arial"/>
          <w:sz w:val="24"/>
          <w:lang w:val="es-AR"/>
        </w:rPr>
        <w:t>"</w:t>
      </w:r>
      <w:r w:rsidR="00F15DD6">
        <w:rPr>
          <w:rFonts w:ascii="Arial" w:eastAsia="Arial" w:hAnsi="Arial"/>
          <w:sz w:val="24"/>
          <w:lang w:val="es-AR"/>
        </w:rPr>
        <w:t xml:space="preserve"> (1975</w:t>
      </w:r>
      <w:r w:rsidR="00214BEE">
        <w:rPr>
          <w:rFonts w:ascii="Arial" w:eastAsia="Arial" w:hAnsi="Arial"/>
          <w:sz w:val="24"/>
          <w:lang w:val="es-AR"/>
        </w:rPr>
        <w:t>:201</w:t>
      </w:r>
      <w:r w:rsidR="00D72764">
        <w:rPr>
          <w:rFonts w:ascii="Arial" w:eastAsia="Arial" w:hAnsi="Arial"/>
          <w:sz w:val="24"/>
          <w:lang w:val="es-AR"/>
        </w:rPr>
        <w:t xml:space="preserve">, </w:t>
      </w:r>
      <w:r w:rsidR="00D72764">
        <w:rPr>
          <w:rFonts w:ascii="Arial" w:eastAsia="Arial" w:hAnsi="Arial"/>
          <w:sz w:val="24"/>
          <w:lang w:val="es-AR"/>
        </w:rPr>
        <w:lastRenderedPageBreak/>
        <w:t>nuestra traducción</w:t>
      </w:r>
      <w:r w:rsidR="00F15DD6">
        <w:rPr>
          <w:rFonts w:ascii="Arial" w:eastAsia="Arial" w:hAnsi="Arial"/>
          <w:sz w:val="24"/>
          <w:lang w:val="es-AR"/>
        </w:rPr>
        <w:t>)</w:t>
      </w:r>
      <w:r w:rsidRPr="00CB3806">
        <w:rPr>
          <w:rFonts w:ascii="Arial" w:eastAsia="Arial" w:hAnsi="Arial"/>
          <w:sz w:val="24"/>
          <w:lang w:val="es-AR"/>
        </w:rPr>
        <w:t>, se tendía a despojar casi automáticamente a la ciencia de sus "</w:t>
      </w:r>
      <w:r w:rsidRPr="00F15DD6">
        <w:rPr>
          <w:rFonts w:ascii="Arial" w:eastAsia="Arial" w:hAnsi="Arial"/>
          <w:i/>
          <w:iCs/>
          <w:sz w:val="24"/>
          <w:lang w:val="es-AR"/>
        </w:rPr>
        <w:t>circunstancias externas</w:t>
      </w:r>
      <w:r w:rsidRPr="00CB3806">
        <w:rPr>
          <w:rFonts w:ascii="Arial" w:eastAsia="Arial" w:hAnsi="Arial"/>
          <w:sz w:val="24"/>
          <w:lang w:val="es-AR"/>
        </w:rPr>
        <w:t>", concentrando la atención exclusivamente en la lógica de la demostración. Frente a esa operación reductora, reclamaba no "</w:t>
      </w:r>
      <w:r w:rsidRPr="00F15DD6">
        <w:rPr>
          <w:rFonts w:ascii="Arial" w:eastAsia="Arial" w:hAnsi="Arial"/>
          <w:i/>
          <w:iCs/>
          <w:sz w:val="24"/>
          <w:lang w:val="es-AR"/>
        </w:rPr>
        <w:t>pasar por alto los rostros, los gestos o aquello que podría llamarse la fisonomía de un argumento</w:t>
      </w:r>
      <w:r w:rsidRPr="00CB3806">
        <w:rPr>
          <w:rFonts w:ascii="Arial" w:eastAsia="Arial" w:hAnsi="Arial"/>
          <w:sz w:val="24"/>
          <w:lang w:val="es-AR"/>
        </w:rPr>
        <w:t>"</w:t>
      </w:r>
      <w:r w:rsidR="00F15DD6">
        <w:rPr>
          <w:rFonts w:ascii="Arial" w:eastAsia="Arial" w:hAnsi="Arial"/>
          <w:sz w:val="24"/>
          <w:lang w:val="es-AR"/>
        </w:rPr>
        <w:t xml:space="preserve"> (1975</w:t>
      </w:r>
      <w:r w:rsidR="00214BEE">
        <w:rPr>
          <w:rFonts w:ascii="Arial" w:eastAsia="Arial" w:hAnsi="Arial"/>
          <w:sz w:val="24"/>
          <w:lang w:val="es-AR"/>
        </w:rPr>
        <w:t>:201</w:t>
      </w:r>
      <w:r w:rsidR="00D72764">
        <w:rPr>
          <w:rFonts w:ascii="Arial" w:eastAsia="Arial" w:hAnsi="Arial"/>
          <w:sz w:val="24"/>
          <w:lang w:val="es-AR"/>
        </w:rPr>
        <w:t>, nuestra traducción</w:t>
      </w:r>
      <w:r w:rsidR="00F15DD6">
        <w:rPr>
          <w:rFonts w:ascii="Arial" w:eastAsia="Arial" w:hAnsi="Arial"/>
          <w:sz w:val="24"/>
          <w:lang w:val="es-AR"/>
        </w:rPr>
        <w:t>)</w:t>
      </w:r>
      <w:r w:rsidRPr="00CB3806">
        <w:rPr>
          <w:rFonts w:ascii="Arial" w:eastAsia="Arial" w:hAnsi="Arial"/>
          <w:sz w:val="24"/>
          <w:lang w:val="es-AR"/>
        </w:rPr>
        <w:t>, y, con el propósito de restituir esa dimensión encarnada y situada, proponía explorar las posibilidades del cine como dispositivo epistemológico.</w:t>
      </w:r>
    </w:p>
    <w:p w14:paraId="614627BA" w14:textId="77C72477" w:rsidR="00CB3806" w:rsidRPr="00CB3806" w:rsidRDefault="00CB3806" w:rsidP="00CB3806">
      <w:pPr>
        <w:spacing w:line="360" w:lineRule="auto"/>
        <w:jc w:val="both"/>
        <w:rPr>
          <w:rFonts w:ascii="Arial" w:eastAsia="Arial" w:hAnsi="Arial"/>
          <w:sz w:val="24"/>
          <w:lang w:val="es-AR"/>
        </w:rPr>
      </w:pPr>
      <w:r w:rsidRPr="00CB3806">
        <w:rPr>
          <w:rFonts w:ascii="Arial" w:eastAsia="Arial" w:hAnsi="Arial"/>
          <w:sz w:val="24"/>
          <w:lang w:val="es-AR"/>
        </w:rPr>
        <w:t xml:space="preserve">Sostenemos que el reclamo de fondo conserva hoy plena vigencia. Sin embargo, entendemos que en estos cincuenta años el ecosistema medial, las condiciones de producción </w:t>
      </w:r>
      <w:r w:rsidR="00214BEE">
        <w:rPr>
          <w:rFonts w:ascii="Arial" w:eastAsia="Arial" w:hAnsi="Arial"/>
          <w:sz w:val="24"/>
          <w:lang w:val="es-AR"/>
        </w:rPr>
        <w:t>de discursos</w:t>
      </w:r>
      <w:r w:rsidRPr="00CB3806">
        <w:rPr>
          <w:rFonts w:ascii="Arial" w:eastAsia="Arial" w:hAnsi="Arial"/>
          <w:sz w:val="24"/>
          <w:lang w:val="es-AR"/>
        </w:rPr>
        <w:t xml:space="preserve"> y los hábitos de recepción se han transformado de manera profunda. Por esta razón, afirmamos que ya no es el cine —al menos no exclusivamente— el que se encuentra en mejores condiciones de presentar concretamente las cuestiones epistemológicas actuales, sino las </w:t>
      </w:r>
      <w:r w:rsidR="00214BEE">
        <w:rPr>
          <w:rFonts w:ascii="Arial" w:eastAsia="Arial" w:hAnsi="Arial"/>
          <w:sz w:val="24"/>
          <w:lang w:val="es-AR"/>
        </w:rPr>
        <w:t>“</w:t>
      </w:r>
      <w:r w:rsidRPr="00931217">
        <w:rPr>
          <w:rFonts w:ascii="Arial" w:eastAsia="Arial" w:hAnsi="Arial"/>
          <w:i/>
          <w:iCs/>
          <w:sz w:val="24"/>
          <w:lang w:val="es-AR"/>
        </w:rPr>
        <w:t>experiencias transmedia</w:t>
      </w:r>
      <w:r w:rsidR="00214BEE">
        <w:rPr>
          <w:rFonts w:ascii="Arial" w:eastAsia="Arial" w:hAnsi="Arial"/>
          <w:sz w:val="24"/>
          <w:lang w:val="es-AR"/>
        </w:rPr>
        <w:t>”</w:t>
      </w:r>
      <w:r w:rsidRPr="00CB3806">
        <w:rPr>
          <w:rFonts w:ascii="Arial" w:eastAsia="Arial" w:hAnsi="Arial"/>
          <w:sz w:val="24"/>
          <w:lang w:val="es-AR"/>
        </w:rPr>
        <w:t xml:space="preserve"> </w:t>
      </w:r>
      <w:r w:rsidR="00214BEE" w:rsidRPr="00CB3806">
        <w:rPr>
          <w:rFonts w:ascii="Arial" w:eastAsia="Arial" w:hAnsi="Arial"/>
          <w:sz w:val="24"/>
          <w:lang w:val="es-AR"/>
        </w:rPr>
        <w:t>—</w:t>
      </w:r>
      <w:r w:rsidRPr="00CB3806">
        <w:rPr>
          <w:rFonts w:ascii="Arial" w:eastAsia="Arial" w:hAnsi="Arial"/>
          <w:sz w:val="24"/>
          <w:lang w:val="es-AR"/>
        </w:rPr>
        <w:t>entendidas como entramados narrativos que se despliegan a través de múltiples plataformas y solicitan la participación activa de comunidades interpretantes</w:t>
      </w:r>
      <w:r w:rsidR="00214BEE" w:rsidRPr="00CB3806">
        <w:rPr>
          <w:rFonts w:ascii="Arial" w:eastAsia="Arial" w:hAnsi="Arial"/>
          <w:sz w:val="24"/>
          <w:lang w:val="es-AR"/>
        </w:rPr>
        <w:t>—</w:t>
      </w:r>
      <w:r w:rsidRPr="00CB3806">
        <w:rPr>
          <w:rFonts w:ascii="Arial" w:eastAsia="Arial" w:hAnsi="Arial"/>
          <w:sz w:val="24"/>
          <w:lang w:val="es-AR"/>
        </w:rPr>
        <w:t xml:space="preserve">, nos resultan particularmente fecundas para pensar el </w:t>
      </w:r>
      <w:r w:rsidR="00214BEE">
        <w:rPr>
          <w:rFonts w:ascii="Arial" w:eastAsia="Arial" w:hAnsi="Arial"/>
          <w:sz w:val="24"/>
          <w:lang w:val="es-AR"/>
        </w:rPr>
        <w:t>“</w:t>
      </w:r>
      <w:r w:rsidRPr="00214BEE">
        <w:rPr>
          <w:rFonts w:ascii="Arial" w:eastAsia="Arial" w:hAnsi="Arial"/>
          <w:i/>
          <w:iCs/>
          <w:sz w:val="24"/>
          <w:lang w:val="es-AR"/>
        </w:rPr>
        <w:t>conocimiento operativo y situado</w:t>
      </w:r>
      <w:r w:rsidR="00214BEE">
        <w:rPr>
          <w:rFonts w:ascii="Arial" w:eastAsia="Arial" w:hAnsi="Arial"/>
          <w:sz w:val="24"/>
          <w:lang w:val="es-AR"/>
        </w:rPr>
        <w:t>”</w:t>
      </w:r>
      <w:r w:rsidRPr="00CB3806">
        <w:rPr>
          <w:rFonts w:ascii="Arial" w:eastAsia="Arial" w:hAnsi="Arial"/>
          <w:sz w:val="24"/>
          <w:lang w:val="es-AR"/>
        </w:rPr>
        <w:t xml:space="preserve"> propio de nuestra época, en sintonía con los desarrollos de Pierre Lévy en torno a la inteligencia colectiva</w:t>
      </w:r>
      <w:r w:rsidR="00214BEE">
        <w:rPr>
          <w:rFonts w:ascii="Arial" w:eastAsia="Arial" w:hAnsi="Arial"/>
          <w:sz w:val="24"/>
          <w:lang w:val="es-AR"/>
        </w:rPr>
        <w:t xml:space="preserve"> (2004)</w:t>
      </w:r>
      <w:r w:rsidRPr="00CB3806">
        <w:rPr>
          <w:rFonts w:ascii="Arial" w:eastAsia="Arial" w:hAnsi="Arial"/>
          <w:sz w:val="24"/>
          <w:lang w:val="es-AR"/>
        </w:rPr>
        <w:t>, de Michel Serres sobre las mutaciones cognitivas asociadas a la digitalización</w:t>
      </w:r>
      <w:r w:rsidR="00214BEE">
        <w:rPr>
          <w:rFonts w:ascii="Arial" w:eastAsia="Arial" w:hAnsi="Arial"/>
          <w:sz w:val="24"/>
          <w:lang w:val="es-AR"/>
        </w:rPr>
        <w:t xml:space="preserve"> (2013)</w:t>
      </w:r>
      <w:r w:rsidRPr="00CB3806">
        <w:rPr>
          <w:rFonts w:ascii="Arial" w:eastAsia="Arial" w:hAnsi="Arial"/>
          <w:sz w:val="24"/>
          <w:lang w:val="es-AR"/>
        </w:rPr>
        <w:t>, y de Donna Haraway</w:t>
      </w:r>
      <w:r w:rsidR="00214BEE">
        <w:rPr>
          <w:rFonts w:ascii="Arial" w:eastAsia="Arial" w:hAnsi="Arial"/>
          <w:sz w:val="24"/>
          <w:lang w:val="es-AR"/>
        </w:rPr>
        <w:t xml:space="preserve"> (1988; 1995)</w:t>
      </w:r>
      <w:r w:rsidRPr="00CB3806">
        <w:rPr>
          <w:rFonts w:ascii="Arial" w:eastAsia="Arial" w:hAnsi="Arial"/>
          <w:sz w:val="24"/>
          <w:lang w:val="es-AR"/>
        </w:rPr>
        <w:t xml:space="preserve"> respecto de los saberes parciales, localizados y corporizados.</w:t>
      </w:r>
    </w:p>
    <w:p w14:paraId="5B6EEA1A" w14:textId="282F8A74" w:rsidR="00CB3806" w:rsidRPr="00CB3806" w:rsidRDefault="00CB3806" w:rsidP="00CB3806">
      <w:pPr>
        <w:spacing w:line="360" w:lineRule="auto"/>
        <w:jc w:val="both"/>
        <w:rPr>
          <w:rFonts w:ascii="Arial" w:eastAsia="Arial" w:hAnsi="Arial"/>
          <w:sz w:val="24"/>
          <w:lang w:val="es-AR"/>
        </w:rPr>
      </w:pPr>
      <w:r w:rsidRPr="00CB3806">
        <w:rPr>
          <w:rFonts w:ascii="Arial" w:eastAsia="Arial" w:hAnsi="Arial"/>
          <w:sz w:val="24"/>
          <w:lang w:val="es-AR"/>
        </w:rPr>
        <w:t xml:space="preserve">La ponencia se inscribe en el programa de investigación que venimos desarrollando en nuestro Centro, y que hemos dado en llamar el </w:t>
      </w:r>
      <w:r w:rsidR="00214BEE">
        <w:rPr>
          <w:rFonts w:ascii="Arial" w:eastAsia="Arial" w:hAnsi="Arial"/>
          <w:sz w:val="24"/>
          <w:lang w:val="es-AR"/>
        </w:rPr>
        <w:t>“</w:t>
      </w:r>
      <w:r w:rsidRPr="00CB3806">
        <w:rPr>
          <w:rFonts w:ascii="Arial" w:eastAsia="Arial" w:hAnsi="Arial"/>
          <w:sz w:val="24"/>
          <w:lang w:val="es-AR"/>
        </w:rPr>
        <w:t>campo MCP (Mundos Narrativos – Comunidades – Plataformas)</w:t>
      </w:r>
      <w:r w:rsidR="00214BEE">
        <w:rPr>
          <w:rFonts w:ascii="Arial" w:eastAsia="Arial" w:hAnsi="Arial"/>
          <w:sz w:val="24"/>
          <w:lang w:val="es-AR"/>
        </w:rPr>
        <w:t xml:space="preserve"> (Autor, 2025)</w:t>
      </w:r>
      <w:r w:rsidRPr="00CB3806">
        <w:rPr>
          <w:rFonts w:ascii="Arial" w:eastAsia="Arial" w:hAnsi="Arial"/>
          <w:sz w:val="24"/>
          <w:lang w:val="es-AR"/>
        </w:rPr>
        <w:t>. Concebimos este campo como un territorio teórico-productivo en el que convergen tres vectores mutuamente constitutivos: la construcción de mundos narrativos dotados de coherencia y densidad propia; las comunidades de usuarios</w:t>
      </w:r>
      <w:r w:rsidR="00214BEE">
        <w:rPr>
          <w:rFonts w:ascii="Arial" w:eastAsia="Arial" w:hAnsi="Arial"/>
          <w:sz w:val="24"/>
          <w:lang w:val="es-AR"/>
        </w:rPr>
        <w:t xml:space="preserve"> </w:t>
      </w:r>
      <w:r w:rsidRPr="00CB3806">
        <w:rPr>
          <w:rFonts w:ascii="Arial" w:eastAsia="Arial" w:hAnsi="Arial"/>
          <w:sz w:val="24"/>
          <w:lang w:val="es-AR"/>
        </w:rPr>
        <w:t xml:space="preserve">que </w:t>
      </w:r>
      <w:proofErr w:type="gramStart"/>
      <w:r w:rsidRPr="00CB3806">
        <w:rPr>
          <w:rFonts w:ascii="Arial" w:eastAsia="Arial" w:hAnsi="Arial"/>
          <w:sz w:val="24"/>
          <w:lang w:val="es-AR"/>
        </w:rPr>
        <w:t>habitan,</w:t>
      </w:r>
      <w:proofErr w:type="gramEnd"/>
      <w:r w:rsidRPr="00CB3806">
        <w:rPr>
          <w:rFonts w:ascii="Arial" w:eastAsia="Arial" w:hAnsi="Arial"/>
          <w:sz w:val="24"/>
          <w:lang w:val="es-AR"/>
        </w:rPr>
        <w:t xml:space="preserve"> </w:t>
      </w:r>
      <w:r w:rsidR="00214BEE">
        <w:rPr>
          <w:rFonts w:ascii="Arial" w:eastAsia="Arial" w:hAnsi="Arial"/>
          <w:sz w:val="24"/>
          <w:lang w:val="es-AR"/>
        </w:rPr>
        <w:t>reinventan y extienden</w:t>
      </w:r>
      <w:r w:rsidRPr="00CB3806">
        <w:rPr>
          <w:rFonts w:ascii="Arial" w:eastAsia="Arial" w:hAnsi="Arial"/>
          <w:sz w:val="24"/>
          <w:lang w:val="es-AR"/>
        </w:rPr>
        <w:t xml:space="preserve"> esos mundos; y las plataformas tecnológicas que condicionan, posibilitan y tensionan tanto la producción como la circulación de los relatos. Desde esta matriz abordamos un conjunto de tópicos que desarrollaremos a lo largo del trabajo y que enumeramos a continuación.</w:t>
      </w:r>
    </w:p>
    <w:p w14:paraId="6AFC890F" w14:textId="697AA312" w:rsidR="00CB3806" w:rsidRPr="00CB3806" w:rsidRDefault="00CB3806" w:rsidP="00CB3806">
      <w:pPr>
        <w:spacing w:line="360" w:lineRule="auto"/>
        <w:jc w:val="both"/>
        <w:rPr>
          <w:rFonts w:ascii="Arial" w:eastAsia="Arial" w:hAnsi="Arial"/>
          <w:sz w:val="24"/>
          <w:lang w:val="es-AR"/>
        </w:rPr>
      </w:pPr>
      <w:r w:rsidRPr="00CB3806">
        <w:rPr>
          <w:rFonts w:ascii="Arial" w:eastAsia="Arial" w:hAnsi="Arial"/>
          <w:sz w:val="24"/>
          <w:lang w:val="es-AR"/>
        </w:rPr>
        <w:lastRenderedPageBreak/>
        <w:t xml:space="preserve">En primer lugar, nos ocupamos de las lógicas del </w:t>
      </w:r>
      <w:r w:rsidR="00214BEE">
        <w:rPr>
          <w:rFonts w:ascii="Arial" w:eastAsia="Arial" w:hAnsi="Arial"/>
          <w:sz w:val="24"/>
          <w:lang w:val="es-AR"/>
        </w:rPr>
        <w:t>“</w:t>
      </w:r>
      <w:r w:rsidRPr="00CB3806">
        <w:rPr>
          <w:rFonts w:ascii="Arial" w:eastAsia="Arial" w:hAnsi="Arial"/>
          <w:sz w:val="24"/>
          <w:lang w:val="es-AR"/>
        </w:rPr>
        <w:t>narrar en la convergencia</w:t>
      </w:r>
      <w:r w:rsidR="00214BEE">
        <w:rPr>
          <w:rFonts w:ascii="Arial" w:eastAsia="Arial" w:hAnsi="Arial"/>
          <w:sz w:val="24"/>
          <w:lang w:val="es-AR"/>
        </w:rPr>
        <w:t>”</w:t>
      </w:r>
      <w:r w:rsidRPr="00CB3806">
        <w:rPr>
          <w:rFonts w:ascii="Arial" w:eastAsia="Arial" w:hAnsi="Arial"/>
          <w:sz w:val="24"/>
          <w:lang w:val="es-AR"/>
        </w:rPr>
        <w:t xml:space="preserve"> digital, social y cultural</w:t>
      </w:r>
      <w:r w:rsidR="00214BEE">
        <w:rPr>
          <w:rFonts w:ascii="Arial" w:eastAsia="Arial" w:hAnsi="Arial"/>
          <w:sz w:val="24"/>
          <w:lang w:val="es-AR"/>
        </w:rPr>
        <w:t xml:space="preserve"> (Ryan &amp; Thon, 2014</w:t>
      </w:r>
      <w:r w:rsidR="00C03F53">
        <w:rPr>
          <w:rFonts w:ascii="Arial" w:eastAsia="Arial" w:hAnsi="Arial"/>
          <w:sz w:val="24"/>
          <w:lang w:val="es-AR"/>
        </w:rPr>
        <w:t>, Autor &amp; Autor, 2026</w:t>
      </w:r>
      <w:r w:rsidR="00214BEE">
        <w:rPr>
          <w:rFonts w:ascii="Arial" w:eastAsia="Arial" w:hAnsi="Arial"/>
          <w:sz w:val="24"/>
          <w:lang w:val="es-AR"/>
        </w:rPr>
        <w:t>)</w:t>
      </w:r>
      <w:r w:rsidRPr="00CB3806">
        <w:rPr>
          <w:rFonts w:ascii="Arial" w:eastAsia="Arial" w:hAnsi="Arial"/>
          <w:sz w:val="24"/>
          <w:lang w:val="es-AR"/>
        </w:rPr>
        <w:t xml:space="preserve">, atendiendo a las reconfiguraciones que las prácticas narrativas sufren cuando se despliegan en entornos marcados por la hibridación de lenguajes, la movilidad de los soportes y la porosidad de las fronteras entre producción y recepción. En segundo lugar, examinamos </w:t>
      </w:r>
      <w:r w:rsidR="00214BEE">
        <w:rPr>
          <w:rFonts w:ascii="Arial" w:eastAsia="Arial" w:hAnsi="Arial"/>
          <w:sz w:val="24"/>
          <w:lang w:val="es-AR"/>
        </w:rPr>
        <w:t>“</w:t>
      </w:r>
      <w:r w:rsidRPr="00CB3806">
        <w:rPr>
          <w:rFonts w:ascii="Arial" w:eastAsia="Arial" w:hAnsi="Arial"/>
          <w:sz w:val="24"/>
          <w:lang w:val="es-AR"/>
        </w:rPr>
        <w:t>la cuestión de la ficción</w:t>
      </w:r>
      <w:r w:rsidR="00214BEE">
        <w:rPr>
          <w:rFonts w:ascii="Arial" w:eastAsia="Arial" w:hAnsi="Arial"/>
          <w:sz w:val="24"/>
          <w:lang w:val="es-AR"/>
        </w:rPr>
        <w:t>” (Nichols, 2001; Autor, 2023</w:t>
      </w:r>
      <w:r w:rsidR="004D3897">
        <w:rPr>
          <w:rFonts w:ascii="Arial" w:eastAsia="Arial" w:hAnsi="Arial"/>
          <w:sz w:val="24"/>
          <w:lang w:val="es-AR"/>
        </w:rPr>
        <w:t>a; Autor, 2023b</w:t>
      </w:r>
      <w:r w:rsidR="00214BEE">
        <w:rPr>
          <w:rFonts w:ascii="Arial" w:eastAsia="Arial" w:hAnsi="Arial"/>
          <w:sz w:val="24"/>
          <w:lang w:val="es-AR"/>
        </w:rPr>
        <w:t>)</w:t>
      </w:r>
      <w:r w:rsidRPr="00CB3806">
        <w:rPr>
          <w:rFonts w:ascii="Arial" w:eastAsia="Arial" w:hAnsi="Arial"/>
          <w:sz w:val="24"/>
          <w:lang w:val="es-AR"/>
        </w:rPr>
        <w:t xml:space="preserve"> y sus transformaciones en el contexto contemporáneo, donde los pactos de verosimilitud se complejizan y los límites entre lo ficcional y lo no ficcional se vuelven objeto de negociación permanente. Vinculamos esta problemática con la interrogación por el </w:t>
      </w:r>
      <w:r w:rsidR="00214BEE">
        <w:rPr>
          <w:rFonts w:ascii="Arial" w:eastAsia="Arial" w:hAnsi="Arial"/>
          <w:sz w:val="24"/>
          <w:lang w:val="es-AR"/>
        </w:rPr>
        <w:t>“</w:t>
      </w:r>
      <w:r w:rsidRPr="00CB3806">
        <w:rPr>
          <w:rFonts w:ascii="Arial" w:eastAsia="Arial" w:hAnsi="Arial"/>
          <w:sz w:val="24"/>
          <w:lang w:val="es-AR"/>
        </w:rPr>
        <w:t>estatuto de verdad</w:t>
      </w:r>
      <w:r w:rsidR="00214BEE">
        <w:rPr>
          <w:rFonts w:ascii="Arial" w:eastAsia="Arial" w:hAnsi="Arial"/>
          <w:sz w:val="24"/>
          <w:lang w:val="es-AR"/>
        </w:rPr>
        <w:t>”</w:t>
      </w:r>
      <w:r w:rsidRPr="00CB3806">
        <w:rPr>
          <w:rFonts w:ascii="Arial" w:eastAsia="Arial" w:hAnsi="Arial"/>
          <w:sz w:val="24"/>
          <w:lang w:val="es-AR"/>
        </w:rPr>
        <w:t xml:space="preserve"> de las narrativas, procurando evitar tanto la ingenuidad realista como el relativismo absoluto, y proponiendo en su lugar una concepción de la verdad como efecto producido en la trama de mundo, comunidad y plataforma.</w:t>
      </w:r>
    </w:p>
    <w:p w14:paraId="597C632D" w14:textId="19503E97" w:rsidR="00CB3806" w:rsidRPr="00CB3806" w:rsidRDefault="00CB3806" w:rsidP="00CB3806">
      <w:pPr>
        <w:spacing w:line="360" w:lineRule="auto"/>
        <w:jc w:val="both"/>
        <w:rPr>
          <w:rFonts w:ascii="Arial" w:eastAsia="Arial" w:hAnsi="Arial"/>
          <w:sz w:val="24"/>
          <w:lang w:val="es-AR"/>
        </w:rPr>
      </w:pPr>
      <w:r w:rsidRPr="00CB3806">
        <w:rPr>
          <w:rFonts w:ascii="Arial" w:eastAsia="Arial" w:hAnsi="Arial"/>
          <w:sz w:val="24"/>
          <w:lang w:val="es-AR"/>
        </w:rPr>
        <w:t xml:space="preserve">En tercer lugar, abordamos </w:t>
      </w:r>
      <w:r w:rsidR="00214BEE">
        <w:rPr>
          <w:rFonts w:ascii="Arial" w:eastAsia="Arial" w:hAnsi="Arial"/>
          <w:sz w:val="24"/>
          <w:lang w:val="es-AR"/>
        </w:rPr>
        <w:t>“</w:t>
      </w:r>
      <w:r w:rsidRPr="00065826">
        <w:rPr>
          <w:rFonts w:ascii="Arial" w:eastAsia="Arial" w:hAnsi="Arial"/>
          <w:i/>
          <w:iCs/>
          <w:sz w:val="24"/>
          <w:lang w:val="es-AR"/>
        </w:rPr>
        <w:t>lo transmedia como modo de producción de narrativas</w:t>
      </w:r>
      <w:r w:rsidR="00214BEE">
        <w:rPr>
          <w:rFonts w:ascii="Arial" w:eastAsia="Arial" w:hAnsi="Arial"/>
          <w:sz w:val="24"/>
          <w:lang w:val="es-AR"/>
        </w:rPr>
        <w:t>” (Autor, 2024)</w:t>
      </w:r>
      <w:r w:rsidRPr="00CB3806">
        <w:rPr>
          <w:rFonts w:ascii="Arial" w:eastAsia="Arial" w:hAnsi="Arial"/>
          <w:sz w:val="24"/>
          <w:lang w:val="es-AR"/>
        </w:rPr>
        <w:t xml:space="preserve">, es decir, no como mero fenómeno de distribución multiplataforma, sino como una lógica específica que reorganiza los procesos creativos, las competencias profesionales y los dispositivos de enunciación. Asociado a ello, proponemos la noción de </w:t>
      </w:r>
      <w:r w:rsidR="00214BEE">
        <w:rPr>
          <w:rFonts w:ascii="Arial" w:eastAsia="Arial" w:hAnsi="Arial"/>
          <w:sz w:val="24"/>
          <w:lang w:val="es-AR"/>
        </w:rPr>
        <w:t>“</w:t>
      </w:r>
      <w:r w:rsidRPr="008B17A9">
        <w:rPr>
          <w:rFonts w:ascii="Arial" w:eastAsia="Arial" w:hAnsi="Arial"/>
          <w:i/>
          <w:iCs/>
          <w:sz w:val="24"/>
          <w:lang w:val="es-AR"/>
        </w:rPr>
        <w:t>tres tiempos lógicos</w:t>
      </w:r>
      <w:r w:rsidR="00214BEE">
        <w:rPr>
          <w:rFonts w:ascii="Arial" w:eastAsia="Arial" w:hAnsi="Arial"/>
          <w:sz w:val="24"/>
          <w:lang w:val="es-AR"/>
        </w:rPr>
        <w:t>”</w:t>
      </w:r>
      <w:r w:rsidRPr="00CB3806">
        <w:rPr>
          <w:rFonts w:ascii="Arial" w:eastAsia="Arial" w:hAnsi="Arial"/>
          <w:sz w:val="24"/>
          <w:lang w:val="es-AR"/>
        </w:rPr>
        <w:t xml:space="preserve"> para comprender la producción y la experiencia transmedia, distinción que permite pensar con mayor precisión las diferentes temporalidades que se anudan en estos proyectos. Finalmente, analizamos el </w:t>
      </w:r>
      <w:r w:rsidRPr="00214BEE">
        <w:rPr>
          <w:rFonts w:ascii="Arial" w:eastAsia="Arial" w:hAnsi="Arial"/>
          <w:i/>
          <w:iCs/>
          <w:sz w:val="24"/>
          <w:lang w:val="es-AR"/>
        </w:rPr>
        <w:t>crowdsourcing</w:t>
      </w:r>
      <w:r w:rsidRPr="00CB3806">
        <w:rPr>
          <w:rFonts w:ascii="Arial" w:eastAsia="Arial" w:hAnsi="Arial"/>
          <w:sz w:val="24"/>
          <w:lang w:val="es-AR"/>
        </w:rPr>
        <w:t xml:space="preserve"> como estrategia transmedial orientada a crear oportunidades para que sujetos y colectivos habitualmente excluidos de los circuitos hegemónicos de enunciación puedan ejercer su derecho a la palabra, articulando así una dimensión ético-política que consideramos constitutiva de nuestra propuesta.</w:t>
      </w:r>
    </w:p>
    <w:p w14:paraId="4EF5F0F0" w14:textId="6E535B4D" w:rsidR="00CB3806" w:rsidRPr="00CB3806" w:rsidRDefault="00CB3806" w:rsidP="00CB3806">
      <w:pPr>
        <w:spacing w:line="360" w:lineRule="auto"/>
        <w:jc w:val="both"/>
        <w:rPr>
          <w:rFonts w:ascii="Arial" w:eastAsia="Arial" w:hAnsi="Arial"/>
          <w:sz w:val="24"/>
          <w:lang w:val="es-AR"/>
        </w:rPr>
      </w:pPr>
      <w:r w:rsidRPr="00CB3806">
        <w:rPr>
          <w:rFonts w:ascii="Arial" w:eastAsia="Arial" w:hAnsi="Arial"/>
          <w:sz w:val="24"/>
          <w:lang w:val="es-AR"/>
        </w:rPr>
        <w:t xml:space="preserve">Desde el punto de vista metodológico, nos posicionamos como </w:t>
      </w:r>
      <w:r w:rsidR="00214BEE">
        <w:rPr>
          <w:rFonts w:ascii="Arial" w:eastAsia="Arial" w:hAnsi="Arial"/>
          <w:sz w:val="24"/>
          <w:lang w:val="es-AR"/>
        </w:rPr>
        <w:t>“</w:t>
      </w:r>
      <w:r w:rsidRPr="008B17A9">
        <w:rPr>
          <w:rFonts w:ascii="Arial" w:eastAsia="Arial" w:hAnsi="Arial"/>
          <w:i/>
          <w:iCs/>
          <w:sz w:val="24"/>
          <w:lang w:val="es-AR"/>
        </w:rPr>
        <w:t>productores-investigadores</w:t>
      </w:r>
      <w:r w:rsidR="00214BEE">
        <w:rPr>
          <w:rFonts w:ascii="Arial" w:eastAsia="Arial" w:hAnsi="Arial"/>
          <w:sz w:val="24"/>
          <w:lang w:val="es-AR"/>
        </w:rPr>
        <w:t>”</w:t>
      </w:r>
      <w:r w:rsidR="008B17A9">
        <w:rPr>
          <w:rFonts w:ascii="Arial" w:eastAsia="Arial" w:hAnsi="Arial"/>
          <w:sz w:val="24"/>
          <w:lang w:val="es-AR"/>
        </w:rPr>
        <w:t xml:space="preserve"> (“</w:t>
      </w:r>
      <w:proofErr w:type="spellStart"/>
      <w:r w:rsidR="008B17A9" w:rsidRPr="008B17A9">
        <w:rPr>
          <w:rFonts w:ascii="Arial" w:eastAsia="Arial" w:hAnsi="Arial"/>
          <w:i/>
          <w:iCs/>
          <w:sz w:val="24"/>
          <w:lang w:val="es-AR"/>
        </w:rPr>
        <w:t>researchers-practitioners</w:t>
      </w:r>
      <w:proofErr w:type="spellEnd"/>
      <w:r w:rsidR="008B17A9">
        <w:rPr>
          <w:rFonts w:ascii="Arial" w:eastAsia="Arial" w:hAnsi="Arial"/>
          <w:sz w:val="24"/>
          <w:lang w:val="es-AR"/>
        </w:rPr>
        <w:t>”)</w:t>
      </w:r>
      <w:r w:rsidRPr="00CB3806">
        <w:rPr>
          <w:rFonts w:ascii="Arial" w:eastAsia="Arial" w:hAnsi="Arial"/>
          <w:sz w:val="24"/>
          <w:lang w:val="es-AR"/>
        </w:rPr>
        <w:t xml:space="preserve">, categoría que asume deliberadamente la doble pertenencia al campo de la creación y al de la reflexión teórica. En lugar de postular una </w:t>
      </w:r>
      <w:r w:rsidR="00BC4044">
        <w:rPr>
          <w:rFonts w:ascii="Arial" w:eastAsia="Arial" w:hAnsi="Arial"/>
          <w:sz w:val="24"/>
          <w:lang w:val="es-AR"/>
        </w:rPr>
        <w:t>escisión radical</w:t>
      </w:r>
      <w:r w:rsidRPr="00CB3806">
        <w:rPr>
          <w:rFonts w:ascii="Arial" w:eastAsia="Arial" w:hAnsi="Arial"/>
          <w:sz w:val="24"/>
          <w:lang w:val="es-AR"/>
        </w:rPr>
        <w:t xml:space="preserve"> entre el sujeto cognoscente y su objeto, reivindicamos la productividad epistémica de la </w:t>
      </w:r>
      <w:r w:rsidR="00214BEE">
        <w:rPr>
          <w:rFonts w:ascii="Arial" w:eastAsia="Arial" w:hAnsi="Arial"/>
          <w:sz w:val="24"/>
          <w:lang w:val="es-AR"/>
        </w:rPr>
        <w:t>“</w:t>
      </w:r>
      <w:r w:rsidRPr="00CB3806">
        <w:rPr>
          <w:rFonts w:ascii="Arial" w:eastAsia="Arial" w:hAnsi="Arial"/>
          <w:sz w:val="24"/>
          <w:lang w:val="es-AR"/>
        </w:rPr>
        <w:t>Investigación Orientada por la</w:t>
      </w:r>
      <w:r w:rsidR="00214BEE">
        <w:rPr>
          <w:rFonts w:ascii="Arial" w:eastAsia="Arial" w:hAnsi="Arial"/>
          <w:sz w:val="24"/>
          <w:lang w:val="es-AR"/>
        </w:rPr>
        <w:t>s</w:t>
      </w:r>
      <w:r w:rsidRPr="00CB3806">
        <w:rPr>
          <w:rFonts w:ascii="Arial" w:eastAsia="Arial" w:hAnsi="Arial"/>
          <w:sz w:val="24"/>
          <w:lang w:val="es-AR"/>
        </w:rPr>
        <w:t xml:space="preserve"> Práctica</w:t>
      </w:r>
      <w:r w:rsidR="00214BEE">
        <w:rPr>
          <w:rFonts w:ascii="Arial" w:eastAsia="Arial" w:hAnsi="Arial"/>
          <w:sz w:val="24"/>
          <w:lang w:val="es-AR"/>
        </w:rPr>
        <w:t>s”</w:t>
      </w:r>
      <w:r w:rsidRPr="00CB3806">
        <w:rPr>
          <w:rFonts w:ascii="Arial" w:eastAsia="Arial" w:hAnsi="Arial"/>
          <w:sz w:val="24"/>
          <w:lang w:val="es-AR"/>
        </w:rPr>
        <w:t xml:space="preserve"> (IO</w:t>
      </w:r>
      <w:r w:rsidR="00214BEE">
        <w:rPr>
          <w:rFonts w:ascii="Arial" w:eastAsia="Arial" w:hAnsi="Arial"/>
          <w:sz w:val="24"/>
          <w:lang w:val="es-AR"/>
        </w:rPr>
        <w:t>p</w:t>
      </w:r>
      <w:r w:rsidRPr="00CB3806">
        <w:rPr>
          <w:rFonts w:ascii="Arial" w:eastAsia="Arial" w:hAnsi="Arial"/>
          <w:sz w:val="24"/>
          <w:lang w:val="es-AR"/>
        </w:rPr>
        <w:t>P)</w:t>
      </w:r>
      <w:r w:rsidR="00BC4044">
        <w:rPr>
          <w:rFonts w:ascii="Arial" w:eastAsia="Arial" w:hAnsi="Arial"/>
          <w:sz w:val="24"/>
          <w:lang w:val="es-AR"/>
        </w:rPr>
        <w:t xml:space="preserve"> en el cual </w:t>
      </w:r>
      <w:r w:rsidR="00420418">
        <w:rPr>
          <w:rFonts w:ascii="Arial" w:eastAsia="Arial" w:hAnsi="Arial"/>
          <w:sz w:val="24"/>
          <w:lang w:val="es-AR"/>
        </w:rPr>
        <w:t>método y objeto se imbrican en una misma materialidad</w:t>
      </w:r>
      <w:r w:rsidRPr="00CB3806">
        <w:rPr>
          <w:rFonts w:ascii="Arial" w:eastAsia="Arial" w:hAnsi="Arial"/>
          <w:sz w:val="24"/>
          <w:lang w:val="es-AR"/>
        </w:rPr>
        <w:t xml:space="preserve">, enfoque bajo el cual se </w:t>
      </w:r>
      <w:r w:rsidRPr="00CB3806">
        <w:rPr>
          <w:rFonts w:ascii="Arial" w:eastAsia="Arial" w:hAnsi="Arial"/>
          <w:sz w:val="24"/>
          <w:lang w:val="es-AR"/>
        </w:rPr>
        <w:lastRenderedPageBreak/>
        <w:t>despliegan las diversas experiencias transmedia propias</w:t>
      </w:r>
      <w:r w:rsidR="00780D0F">
        <w:rPr>
          <w:rFonts w:ascii="Arial" w:eastAsia="Arial" w:hAnsi="Arial"/>
          <w:sz w:val="24"/>
          <w:lang w:val="es-AR"/>
        </w:rPr>
        <w:t xml:space="preserve"> </w:t>
      </w:r>
      <w:r w:rsidR="00780D0F" w:rsidRPr="00CB3806">
        <w:rPr>
          <w:rFonts w:ascii="Arial" w:eastAsia="Arial" w:hAnsi="Arial"/>
          <w:sz w:val="24"/>
          <w:lang w:val="es-AR"/>
        </w:rPr>
        <w:t>—</w:t>
      </w:r>
      <w:r w:rsidR="00780D0F">
        <w:rPr>
          <w:rFonts w:ascii="Arial" w:eastAsia="Arial" w:hAnsi="Arial"/>
          <w:sz w:val="24"/>
          <w:lang w:val="es-AR"/>
        </w:rPr>
        <w:t>realizadas</w:t>
      </w:r>
      <w:r w:rsidRPr="00CB3806">
        <w:rPr>
          <w:rFonts w:ascii="Arial" w:eastAsia="Arial" w:hAnsi="Arial"/>
          <w:sz w:val="24"/>
          <w:lang w:val="es-AR"/>
        </w:rPr>
        <w:t xml:space="preserve"> </w:t>
      </w:r>
      <w:r w:rsidR="00780D0F">
        <w:rPr>
          <w:rFonts w:ascii="Arial" w:eastAsia="Arial" w:hAnsi="Arial"/>
          <w:sz w:val="24"/>
          <w:lang w:val="es-AR"/>
        </w:rPr>
        <w:t>entre 2012 y 2026</w:t>
      </w:r>
      <w:r w:rsidR="00780D0F" w:rsidRPr="00CB3806">
        <w:rPr>
          <w:rFonts w:ascii="Arial" w:eastAsia="Arial" w:hAnsi="Arial"/>
          <w:sz w:val="24"/>
          <w:lang w:val="es-AR"/>
        </w:rPr>
        <w:t>—</w:t>
      </w:r>
      <w:r w:rsidR="00780D0F">
        <w:rPr>
          <w:rFonts w:ascii="Arial" w:eastAsia="Arial" w:hAnsi="Arial"/>
          <w:sz w:val="24"/>
          <w:lang w:val="es-AR"/>
        </w:rPr>
        <w:t xml:space="preserve"> </w:t>
      </w:r>
      <w:r w:rsidRPr="00CB3806">
        <w:rPr>
          <w:rFonts w:ascii="Arial" w:eastAsia="Arial" w:hAnsi="Arial"/>
          <w:sz w:val="24"/>
          <w:lang w:val="es-AR"/>
        </w:rPr>
        <w:t>que tomamos como casos de análisis</w:t>
      </w:r>
      <w:r w:rsidR="007370A3">
        <w:rPr>
          <w:rFonts w:ascii="Arial" w:eastAsia="Arial" w:hAnsi="Arial"/>
          <w:sz w:val="24"/>
          <w:lang w:val="es-AR"/>
        </w:rPr>
        <w:t xml:space="preserve"> dentro del paradigma </w:t>
      </w:r>
      <w:proofErr w:type="spellStart"/>
      <w:r w:rsidR="007370A3">
        <w:rPr>
          <w:rFonts w:ascii="Arial" w:eastAsia="Arial" w:hAnsi="Arial"/>
          <w:sz w:val="24"/>
          <w:lang w:val="es-AR"/>
        </w:rPr>
        <w:t>PaR</w:t>
      </w:r>
      <w:proofErr w:type="spellEnd"/>
      <w:r w:rsidR="007370A3">
        <w:rPr>
          <w:rFonts w:ascii="Arial" w:eastAsia="Arial" w:hAnsi="Arial"/>
          <w:sz w:val="24"/>
          <w:lang w:val="es-AR"/>
        </w:rPr>
        <w:t>/IBP/I+C (</w:t>
      </w:r>
      <w:r w:rsidR="00060D57">
        <w:rPr>
          <w:rFonts w:ascii="Arial" w:eastAsia="Arial" w:hAnsi="Arial"/>
          <w:sz w:val="24"/>
          <w:lang w:val="es-AR"/>
        </w:rPr>
        <w:t xml:space="preserve">Práctica como investigación; Investigación basada en la práctica; </w:t>
      </w:r>
      <w:r w:rsidR="004A25BE">
        <w:rPr>
          <w:rFonts w:ascii="Arial" w:eastAsia="Arial" w:hAnsi="Arial"/>
          <w:sz w:val="24"/>
          <w:lang w:val="es-AR"/>
        </w:rPr>
        <w:t>Investigación + Creación)</w:t>
      </w:r>
      <w:r w:rsidRPr="00CB3806">
        <w:rPr>
          <w:rFonts w:ascii="Arial" w:eastAsia="Arial" w:hAnsi="Arial"/>
          <w:sz w:val="24"/>
          <w:lang w:val="es-AR"/>
        </w:rPr>
        <w:t>. Entendemos que es precisamente en la práctica —en su planificación, su ejecución, sus fricciones y sus hallazgos imprevistos— donde emergen los problemas más fértiles y donde se ponen a prueba, se modifican o se refutan nuestras hipótesis teóricas</w:t>
      </w:r>
      <w:r w:rsidR="004A25BE">
        <w:rPr>
          <w:rFonts w:ascii="Arial" w:eastAsia="Arial" w:hAnsi="Arial"/>
          <w:sz w:val="24"/>
          <w:lang w:val="es-AR"/>
        </w:rPr>
        <w:t xml:space="preserve"> generándose </w:t>
      </w:r>
      <w:r w:rsidR="00203C60">
        <w:rPr>
          <w:rFonts w:ascii="Arial" w:eastAsia="Arial" w:hAnsi="Arial"/>
          <w:sz w:val="24"/>
          <w:lang w:val="es-AR"/>
        </w:rPr>
        <w:t>conocimiento operativo y para la decisión</w:t>
      </w:r>
      <w:r w:rsidRPr="00CB3806">
        <w:rPr>
          <w:rFonts w:ascii="Arial" w:eastAsia="Arial" w:hAnsi="Arial"/>
          <w:sz w:val="24"/>
          <w:lang w:val="es-AR"/>
        </w:rPr>
        <w:t>.</w:t>
      </w:r>
      <w:r w:rsidR="009E4ACA">
        <w:rPr>
          <w:rFonts w:ascii="Arial" w:eastAsia="Arial" w:hAnsi="Arial"/>
          <w:sz w:val="24"/>
          <w:lang w:val="es-AR"/>
        </w:rPr>
        <w:t xml:space="preserve"> A su vez, e</w:t>
      </w:r>
      <w:r w:rsidR="00AF1DAC">
        <w:rPr>
          <w:rFonts w:ascii="Arial" w:eastAsia="Arial" w:hAnsi="Arial"/>
          <w:sz w:val="24"/>
          <w:lang w:val="es-AR"/>
        </w:rPr>
        <w:t xml:space="preserve">l modelo se </w:t>
      </w:r>
      <w:r w:rsidR="0072617E">
        <w:rPr>
          <w:rFonts w:ascii="Arial" w:eastAsia="Arial" w:hAnsi="Arial"/>
          <w:sz w:val="24"/>
          <w:lang w:val="es-AR"/>
        </w:rPr>
        <w:t>ext</w:t>
      </w:r>
      <w:r w:rsidR="007C2261">
        <w:rPr>
          <w:rFonts w:ascii="Arial" w:eastAsia="Arial" w:hAnsi="Arial"/>
          <w:sz w:val="24"/>
          <w:lang w:val="es-AR"/>
        </w:rPr>
        <w:t>i</w:t>
      </w:r>
      <w:r w:rsidR="0072617E">
        <w:rPr>
          <w:rFonts w:ascii="Arial" w:eastAsia="Arial" w:hAnsi="Arial"/>
          <w:sz w:val="24"/>
          <w:lang w:val="es-AR"/>
        </w:rPr>
        <w:t>ende como herramienta docente y</w:t>
      </w:r>
      <w:r w:rsidR="00AF1DAC">
        <w:rPr>
          <w:rFonts w:ascii="Arial" w:eastAsia="Arial" w:hAnsi="Arial"/>
          <w:sz w:val="24"/>
          <w:lang w:val="es-AR"/>
        </w:rPr>
        <w:t xml:space="preserve"> como estrategia pedagógica en la formación de nuestros estudiantes de producción audiovisual</w:t>
      </w:r>
      <w:r w:rsidR="00262769">
        <w:rPr>
          <w:rFonts w:ascii="Arial" w:eastAsia="Arial" w:hAnsi="Arial"/>
          <w:sz w:val="24"/>
          <w:lang w:val="es-AR"/>
        </w:rPr>
        <w:t xml:space="preserve">, ya que el ciclo </w:t>
      </w:r>
      <w:r w:rsidR="00262769" w:rsidRPr="00203C60">
        <w:rPr>
          <w:rFonts w:ascii="Arial" w:eastAsia="Arial" w:hAnsi="Arial"/>
          <w:i/>
          <w:iCs/>
          <w:sz w:val="24"/>
          <w:lang w:val="es-AR"/>
        </w:rPr>
        <w:t>diseñar, produc</w:t>
      </w:r>
      <w:r w:rsidR="000305AB" w:rsidRPr="00203C60">
        <w:rPr>
          <w:rFonts w:ascii="Arial" w:eastAsia="Arial" w:hAnsi="Arial"/>
          <w:i/>
          <w:iCs/>
          <w:sz w:val="24"/>
          <w:lang w:val="es-AR"/>
        </w:rPr>
        <w:t>ir, documentar y reflexionar</w:t>
      </w:r>
      <w:r w:rsidR="000305AB">
        <w:rPr>
          <w:rFonts w:ascii="Arial" w:eastAsia="Arial" w:hAnsi="Arial"/>
          <w:sz w:val="24"/>
          <w:lang w:val="es-AR"/>
        </w:rPr>
        <w:t xml:space="preserve"> se constituye como una habilidad central a desarrollar dentro del hacer profesional.</w:t>
      </w:r>
    </w:p>
    <w:p w14:paraId="18CBD2EB" w14:textId="3152EC84" w:rsidR="007F73AD" w:rsidRPr="00C209FE" w:rsidRDefault="00CB3806" w:rsidP="00CB3806">
      <w:pPr>
        <w:spacing w:line="360" w:lineRule="auto"/>
        <w:jc w:val="both"/>
        <w:rPr>
          <w:rFonts w:ascii="Arial" w:eastAsia="Arial" w:hAnsi="Arial"/>
          <w:sz w:val="24"/>
          <w:lang w:val="es-AR"/>
        </w:rPr>
      </w:pPr>
      <w:r w:rsidRPr="00CB3806">
        <w:rPr>
          <w:rFonts w:ascii="Arial" w:eastAsia="Arial" w:hAnsi="Arial"/>
          <w:sz w:val="24"/>
          <w:lang w:val="es-AR"/>
        </w:rPr>
        <w:t xml:space="preserve">En síntesis, proponemos </w:t>
      </w:r>
      <w:r w:rsidR="00256D4C">
        <w:rPr>
          <w:rFonts w:ascii="Arial" w:eastAsia="Arial" w:hAnsi="Arial"/>
          <w:sz w:val="24"/>
          <w:lang w:val="es-AR"/>
        </w:rPr>
        <w:t>expandir</w:t>
      </w:r>
      <w:r w:rsidRPr="00CB3806">
        <w:rPr>
          <w:rFonts w:ascii="Arial" w:eastAsia="Arial" w:hAnsi="Arial"/>
          <w:sz w:val="24"/>
          <w:lang w:val="es-AR"/>
        </w:rPr>
        <w:t xml:space="preserve"> y actualizar el gesto </w:t>
      </w:r>
      <w:proofErr w:type="spellStart"/>
      <w:r w:rsidRPr="00CB3806">
        <w:rPr>
          <w:rFonts w:ascii="Arial" w:eastAsia="Arial" w:hAnsi="Arial"/>
          <w:sz w:val="24"/>
          <w:lang w:val="es-AR"/>
        </w:rPr>
        <w:t>feyerabendiano</w:t>
      </w:r>
      <w:proofErr w:type="spellEnd"/>
      <w:r w:rsidRPr="00CB3806">
        <w:rPr>
          <w:rFonts w:ascii="Arial" w:eastAsia="Arial" w:hAnsi="Arial"/>
          <w:sz w:val="24"/>
          <w:lang w:val="es-AR"/>
        </w:rPr>
        <w:t>: donde él invitaba a "</w:t>
      </w:r>
      <w:r w:rsidRPr="007F73AD">
        <w:rPr>
          <w:rFonts w:ascii="Arial" w:eastAsia="Arial" w:hAnsi="Arial"/>
          <w:i/>
          <w:iCs/>
          <w:sz w:val="24"/>
          <w:lang w:val="es-AR"/>
        </w:rPr>
        <w:t>hacer películas</w:t>
      </w:r>
      <w:r w:rsidRPr="00CB3806">
        <w:rPr>
          <w:rFonts w:ascii="Arial" w:eastAsia="Arial" w:hAnsi="Arial"/>
          <w:sz w:val="24"/>
          <w:lang w:val="es-AR"/>
        </w:rPr>
        <w:t xml:space="preserve">", </w:t>
      </w:r>
      <w:r w:rsidR="00673359" w:rsidRPr="00CB3806">
        <w:rPr>
          <w:rFonts w:ascii="Arial" w:eastAsia="Arial" w:hAnsi="Arial"/>
          <w:sz w:val="24"/>
          <w:lang w:val="es-AR"/>
        </w:rPr>
        <w:t xml:space="preserve">nosotros </w:t>
      </w:r>
      <w:r w:rsidRPr="00CB3806">
        <w:rPr>
          <w:rFonts w:ascii="Arial" w:eastAsia="Arial" w:hAnsi="Arial"/>
          <w:sz w:val="24"/>
          <w:lang w:val="es-AR"/>
        </w:rPr>
        <w:t xml:space="preserve">invitamos a </w:t>
      </w:r>
      <w:r w:rsidR="00256D4C">
        <w:rPr>
          <w:rFonts w:ascii="Arial" w:eastAsia="Arial" w:hAnsi="Arial"/>
          <w:sz w:val="24"/>
          <w:lang w:val="es-AR"/>
        </w:rPr>
        <w:t>“</w:t>
      </w:r>
      <w:r w:rsidRPr="00256D4C">
        <w:rPr>
          <w:rFonts w:ascii="Arial" w:eastAsia="Arial" w:hAnsi="Arial"/>
          <w:i/>
          <w:iCs/>
          <w:sz w:val="24"/>
          <w:lang w:val="es-AR"/>
        </w:rPr>
        <w:t>construir experiencias transmedia</w:t>
      </w:r>
      <w:r w:rsidR="00256D4C">
        <w:rPr>
          <w:rFonts w:ascii="Arial" w:eastAsia="Arial" w:hAnsi="Arial"/>
          <w:sz w:val="24"/>
          <w:lang w:val="es-AR"/>
        </w:rPr>
        <w:t>”</w:t>
      </w:r>
      <w:r w:rsidRPr="00CB3806">
        <w:rPr>
          <w:rFonts w:ascii="Arial" w:eastAsia="Arial" w:hAnsi="Arial"/>
          <w:sz w:val="24"/>
          <w:lang w:val="es-AR"/>
        </w:rPr>
        <w:t>, convencidos de que en ellas se juega hoy, con particular intensidad, la posibilidad de producir conocimiento plural, situad</w:t>
      </w:r>
      <w:r w:rsidR="00490832">
        <w:rPr>
          <w:rFonts w:ascii="Arial" w:eastAsia="Arial" w:hAnsi="Arial"/>
          <w:sz w:val="24"/>
          <w:lang w:val="es-AR"/>
        </w:rPr>
        <w:t>o</w:t>
      </w:r>
      <w:r w:rsidRPr="00CB3806">
        <w:rPr>
          <w:rFonts w:ascii="Arial" w:eastAsia="Arial" w:hAnsi="Arial"/>
          <w:sz w:val="24"/>
          <w:lang w:val="es-AR"/>
        </w:rPr>
        <w:t>, dialógic</w:t>
      </w:r>
      <w:r w:rsidR="00490832">
        <w:rPr>
          <w:rFonts w:ascii="Arial" w:eastAsia="Arial" w:hAnsi="Arial"/>
          <w:sz w:val="24"/>
          <w:lang w:val="es-AR"/>
        </w:rPr>
        <w:t>o</w:t>
      </w:r>
      <w:r w:rsidRPr="00CB3806">
        <w:rPr>
          <w:rFonts w:ascii="Arial" w:eastAsia="Arial" w:hAnsi="Arial"/>
          <w:sz w:val="24"/>
          <w:lang w:val="es-AR"/>
        </w:rPr>
        <w:t xml:space="preserve"> </w:t>
      </w:r>
      <w:r w:rsidR="001F556E">
        <w:rPr>
          <w:rFonts w:ascii="Arial" w:eastAsia="Arial" w:hAnsi="Arial"/>
          <w:sz w:val="24"/>
          <w:lang w:val="es-AR"/>
        </w:rPr>
        <w:t xml:space="preserve">e incluyente </w:t>
      </w:r>
      <w:r w:rsidRPr="00CB3806">
        <w:rPr>
          <w:rFonts w:ascii="Arial" w:eastAsia="Arial" w:hAnsi="Arial"/>
          <w:sz w:val="24"/>
          <w:lang w:val="es-AR"/>
        </w:rPr>
        <w:t>y atent</w:t>
      </w:r>
      <w:r w:rsidR="00490832">
        <w:rPr>
          <w:rFonts w:ascii="Arial" w:eastAsia="Arial" w:hAnsi="Arial"/>
          <w:sz w:val="24"/>
          <w:lang w:val="es-AR"/>
        </w:rPr>
        <w:t>o</w:t>
      </w:r>
      <w:r w:rsidRPr="00CB3806">
        <w:rPr>
          <w:rFonts w:ascii="Arial" w:eastAsia="Arial" w:hAnsi="Arial"/>
          <w:sz w:val="24"/>
          <w:lang w:val="es-AR"/>
        </w:rPr>
        <w:t xml:space="preserve"> a la </w:t>
      </w:r>
      <w:r w:rsidR="00453018">
        <w:rPr>
          <w:rFonts w:ascii="Arial" w:eastAsia="Arial" w:hAnsi="Arial"/>
          <w:sz w:val="24"/>
          <w:lang w:val="es-AR"/>
        </w:rPr>
        <w:t>“</w:t>
      </w:r>
      <w:r w:rsidRPr="00453018">
        <w:rPr>
          <w:rFonts w:ascii="Arial" w:eastAsia="Arial" w:hAnsi="Arial"/>
          <w:i/>
          <w:iCs/>
          <w:sz w:val="24"/>
          <w:lang w:val="es-AR"/>
        </w:rPr>
        <w:t>fisonomía de los argumentos</w:t>
      </w:r>
      <w:r w:rsidR="00453018">
        <w:rPr>
          <w:rFonts w:ascii="Arial" w:eastAsia="Arial" w:hAnsi="Arial"/>
          <w:sz w:val="24"/>
          <w:lang w:val="es-AR"/>
        </w:rPr>
        <w:t>” (Feyerabend, 1975:201, nuestra traducción)</w:t>
      </w:r>
      <w:r w:rsidR="001F556E">
        <w:rPr>
          <w:rFonts w:ascii="Arial" w:eastAsia="Arial" w:hAnsi="Arial"/>
          <w:sz w:val="24"/>
          <w:lang w:val="es-AR"/>
        </w:rPr>
        <w:t xml:space="preserve">, privilegiando los enfoques narrativos </w:t>
      </w:r>
      <w:r w:rsidR="004E7EFF">
        <w:rPr>
          <w:rFonts w:ascii="Arial" w:eastAsia="Arial" w:hAnsi="Arial"/>
          <w:sz w:val="24"/>
          <w:lang w:val="es-AR"/>
        </w:rPr>
        <w:t xml:space="preserve">experienciales </w:t>
      </w:r>
      <w:r w:rsidR="007F73AD">
        <w:rPr>
          <w:rFonts w:ascii="Arial" w:eastAsia="Arial" w:hAnsi="Arial"/>
          <w:sz w:val="24"/>
          <w:lang w:val="es-AR"/>
        </w:rPr>
        <w:t>sobre los meramente informacionales y comunicacionales</w:t>
      </w:r>
      <w:r w:rsidRPr="00CB3806">
        <w:rPr>
          <w:rFonts w:ascii="Arial" w:eastAsia="Arial" w:hAnsi="Arial"/>
          <w:sz w:val="24"/>
          <w:lang w:val="es-AR"/>
        </w:rPr>
        <w:t>.</w:t>
      </w:r>
    </w:p>
    <w:p w14:paraId="4FEE01F2" w14:textId="630DACE5" w:rsidR="00214BEE" w:rsidRPr="00214BEE" w:rsidRDefault="00EF7B17" w:rsidP="00F15DD6">
      <w:pPr>
        <w:spacing w:line="360" w:lineRule="auto"/>
        <w:rPr>
          <w:lang w:val="es-AR"/>
        </w:rPr>
      </w:pPr>
      <w:r w:rsidRPr="00414A02">
        <w:rPr>
          <w:rFonts w:ascii="Arial" w:eastAsia="Arial" w:hAnsi="Arial"/>
          <w:b/>
          <w:sz w:val="24"/>
          <w:lang w:val="es-AR"/>
        </w:rPr>
        <w:t>REFERENCIA</w:t>
      </w:r>
      <w:r w:rsidR="00214BEE">
        <w:rPr>
          <w:rFonts w:ascii="Arial" w:eastAsia="Arial" w:hAnsi="Arial"/>
          <w:b/>
          <w:sz w:val="24"/>
          <w:lang w:val="es-AR"/>
        </w:rPr>
        <w:t>S</w:t>
      </w:r>
    </w:p>
    <w:p w14:paraId="1E392DFC" w14:textId="5FB8CF1A" w:rsidR="00F15DD6" w:rsidRPr="00F15DD6" w:rsidRDefault="00F15DD6" w:rsidP="00F15DD6">
      <w:pPr>
        <w:spacing w:line="360" w:lineRule="auto"/>
        <w:rPr>
          <w:rFonts w:ascii="Arial" w:eastAsia="Arial" w:hAnsi="Arial"/>
          <w:sz w:val="24"/>
          <w:lang w:val="es-AR"/>
        </w:rPr>
      </w:pPr>
      <w:r w:rsidRPr="00F15DD6">
        <w:rPr>
          <w:rFonts w:ascii="Arial" w:eastAsia="Arial" w:hAnsi="Arial"/>
          <w:sz w:val="24"/>
          <w:lang w:val="es-AR"/>
        </w:rPr>
        <w:t>Brecht, B. (2010). Vida de Galileo (M. Sáenz, Trad.). Alianza Editorial. (Obra original publicada en 1955)</w:t>
      </w:r>
    </w:p>
    <w:p w14:paraId="12A5E1EF" w14:textId="77777777" w:rsidR="00F15DD6" w:rsidRPr="00F15DD6" w:rsidRDefault="00F15DD6" w:rsidP="00F15DD6">
      <w:pPr>
        <w:spacing w:line="360" w:lineRule="auto"/>
        <w:rPr>
          <w:rFonts w:ascii="Arial" w:eastAsia="Arial" w:hAnsi="Arial"/>
          <w:sz w:val="24"/>
          <w:lang w:val="en-GB"/>
        </w:rPr>
      </w:pPr>
      <w:r w:rsidRPr="00F15DD6">
        <w:rPr>
          <w:rFonts w:ascii="Arial" w:eastAsia="Arial" w:hAnsi="Arial"/>
          <w:sz w:val="24"/>
          <w:lang w:val="en-GB"/>
        </w:rPr>
        <w:t>Feyerabend, P. K. (1975). Let's make more movies. En C. J. Bontempo &amp; S. J. Odell (Eds.), The owl of Minerva: Philosophers on philosophers (pp. 201–210). McGraw-Hill.</w:t>
      </w:r>
    </w:p>
    <w:p w14:paraId="00D948F2" w14:textId="77777777" w:rsidR="00F15DD6" w:rsidRPr="00F15DD6" w:rsidRDefault="00F15DD6" w:rsidP="00F15DD6">
      <w:pPr>
        <w:spacing w:line="360" w:lineRule="auto"/>
        <w:rPr>
          <w:rFonts w:ascii="Arial" w:eastAsia="Arial" w:hAnsi="Arial"/>
          <w:sz w:val="24"/>
          <w:lang w:val="es-AR"/>
        </w:rPr>
      </w:pPr>
      <w:r w:rsidRPr="00F15DD6">
        <w:rPr>
          <w:rFonts w:ascii="Arial" w:eastAsia="Arial" w:hAnsi="Arial"/>
          <w:sz w:val="24"/>
          <w:lang w:val="en-GB"/>
        </w:rPr>
        <w:t xml:space="preserve">Haraway, D. J. (1988). Situated knowledges: The science question in feminism and the privilege of partial perspective. </w:t>
      </w:r>
      <w:proofErr w:type="spellStart"/>
      <w:r w:rsidRPr="00F15DD6">
        <w:rPr>
          <w:rFonts w:ascii="Arial" w:eastAsia="Arial" w:hAnsi="Arial"/>
          <w:sz w:val="24"/>
          <w:lang w:val="es-AR"/>
        </w:rPr>
        <w:t>Feminist</w:t>
      </w:r>
      <w:proofErr w:type="spellEnd"/>
      <w:r w:rsidRPr="00F15DD6">
        <w:rPr>
          <w:rFonts w:ascii="Arial" w:eastAsia="Arial" w:hAnsi="Arial"/>
          <w:sz w:val="24"/>
          <w:lang w:val="es-AR"/>
        </w:rPr>
        <w:t xml:space="preserve"> </w:t>
      </w:r>
      <w:proofErr w:type="spellStart"/>
      <w:r w:rsidRPr="00F15DD6">
        <w:rPr>
          <w:rFonts w:ascii="Arial" w:eastAsia="Arial" w:hAnsi="Arial"/>
          <w:sz w:val="24"/>
          <w:lang w:val="es-AR"/>
        </w:rPr>
        <w:t>Studies</w:t>
      </w:r>
      <w:proofErr w:type="spellEnd"/>
      <w:r w:rsidRPr="00F15DD6">
        <w:rPr>
          <w:rFonts w:ascii="Arial" w:eastAsia="Arial" w:hAnsi="Arial"/>
          <w:sz w:val="24"/>
          <w:lang w:val="es-AR"/>
        </w:rPr>
        <w:t>, 14(3), 575–599. https://doi.org/10.2307/3178066</w:t>
      </w:r>
    </w:p>
    <w:p w14:paraId="2AD02B74" w14:textId="77777777" w:rsidR="00F15DD6" w:rsidRPr="00F15DD6" w:rsidRDefault="00F15DD6" w:rsidP="00F15DD6">
      <w:pPr>
        <w:spacing w:line="360" w:lineRule="auto"/>
        <w:rPr>
          <w:rFonts w:ascii="Arial" w:eastAsia="Arial" w:hAnsi="Arial"/>
          <w:sz w:val="24"/>
          <w:lang w:val="es-AR"/>
        </w:rPr>
      </w:pPr>
      <w:r w:rsidRPr="00F15DD6">
        <w:rPr>
          <w:rFonts w:ascii="Arial" w:eastAsia="Arial" w:hAnsi="Arial"/>
          <w:sz w:val="24"/>
          <w:lang w:val="es-AR"/>
        </w:rPr>
        <w:t xml:space="preserve">Haraway, D. J. (1995). Ciencia, </w:t>
      </w:r>
      <w:proofErr w:type="spellStart"/>
      <w:r w:rsidRPr="00F15DD6">
        <w:rPr>
          <w:rFonts w:ascii="Arial" w:eastAsia="Arial" w:hAnsi="Arial"/>
          <w:sz w:val="24"/>
          <w:lang w:val="es-AR"/>
        </w:rPr>
        <w:t>cyborgs</w:t>
      </w:r>
      <w:proofErr w:type="spellEnd"/>
      <w:r w:rsidRPr="00F15DD6">
        <w:rPr>
          <w:rFonts w:ascii="Arial" w:eastAsia="Arial" w:hAnsi="Arial"/>
          <w:sz w:val="24"/>
          <w:lang w:val="es-AR"/>
        </w:rPr>
        <w:t xml:space="preserve"> y mujeres: La reinvención de la naturaleza (M. Talens, Trad.). Cátedra. (Obra original publicada en 1991)</w:t>
      </w:r>
    </w:p>
    <w:p w14:paraId="0F1FDC2F" w14:textId="77777777" w:rsidR="00F15DD6" w:rsidRPr="00F15DD6" w:rsidRDefault="00F15DD6" w:rsidP="00F15DD6">
      <w:pPr>
        <w:spacing w:line="360" w:lineRule="auto"/>
        <w:rPr>
          <w:rFonts w:ascii="Arial" w:eastAsia="Arial" w:hAnsi="Arial"/>
          <w:sz w:val="24"/>
          <w:lang w:val="es-AR"/>
        </w:rPr>
      </w:pPr>
      <w:r w:rsidRPr="00F15DD6">
        <w:rPr>
          <w:rFonts w:ascii="Arial" w:eastAsia="Arial" w:hAnsi="Arial"/>
          <w:sz w:val="24"/>
          <w:lang w:val="es-AR"/>
        </w:rPr>
        <w:lastRenderedPageBreak/>
        <w:t>Lévy, P. (2004). Inteligencia colectiva: Por una antropología del ciberespacio (F. Martínez Álvarez, Trad.). Organización Panamericana de la Salud. (Obra original publicada en 1994)</w:t>
      </w:r>
    </w:p>
    <w:p w14:paraId="544EAA49" w14:textId="77777777" w:rsidR="00F15DD6" w:rsidRPr="00F15DD6" w:rsidRDefault="00F15DD6" w:rsidP="00F15DD6">
      <w:pPr>
        <w:spacing w:line="360" w:lineRule="auto"/>
        <w:rPr>
          <w:rFonts w:ascii="Arial" w:eastAsia="Arial" w:hAnsi="Arial"/>
          <w:sz w:val="24"/>
          <w:lang w:val="es-AR"/>
        </w:rPr>
      </w:pPr>
      <w:r w:rsidRPr="00F15DD6">
        <w:rPr>
          <w:rFonts w:ascii="Arial" w:eastAsia="Arial" w:hAnsi="Arial"/>
          <w:sz w:val="24"/>
          <w:lang w:val="es-AR"/>
        </w:rPr>
        <w:t xml:space="preserve">Lévy, P. (2007). Cibercultura: La cultura de la sociedad digital (M. Medina, Trad.). </w:t>
      </w:r>
      <w:proofErr w:type="spellStart"/>
      <w:r w:rsidRPr="00F15DD6">
        <w:rPr>
          <w:rFonts w:ascii="Arial" w:eastAsia="Arial" w:hAnsi="Arial"/>
          <w:sz w:val="24"/>
          <w:lang w:val="es-AR"/>
        </w:rPr>
        <w:t>Anthropos</w:t>
      </w:r>
      <w:proofErr w:type="spellEnd"/>
      <w:r w:rsidRPr="00F15DD6">
        <w:rPr>
          <w:rFonts w:ascii="Arial" w:eastAsia="Arial" w:hAnsi="Arial"/>
          <w:sz w:val="24"/>
          <w:lang w:val="es-AR"/>
        </w:rPr>
        <w:t>. (Obra original publicada en 1997)</w:t>
      </w:r>
    </w:p>
    <w:p w14:paraId="551BACF7" w14:textId="795E83CA" w:rsidR="00955558" w:rsidRPr="006268B1" w:rsidRDefault="00955558" w:rsidP="00F15DD6">
      <w:pPr>
        <w:spacing w:line="360" w:lineRule="auto"/>
        <w:rPr>
          <w:rFonts w:ascii="Arial" w:eastAsia="Arial" w:hAnsi="Arial"/>
          <w:sz w:val="24"/>
          <w:lang w:val="en-GB"/>
        </w:rPr>
      </w:pPr>
      <w:r w:rsidRPr="00955558">
        <w:rPr>
          <w:rFonts w:ascii="Arial" w:eastAsia="Arial" w:hAnsi="Arial"/>
          <w:sz w:val="24"/>
          <w:lang w:val="es-AR"/>
        </w:rPr>
        <w:t xml:space="preserve">Ryan, M.-L., &amp; Thon, J.-N. (Eds.). </w:t>
      </w:r>
      <w:r w:rsidRPr="00955558">
        <w:rPr>
          <w:rFonts w:ascii="Arial" w:eastAsia="Arial" w:hAnsi="Arial"/>
          <w:sz w:val="24"/>
          <w:lang w:val="en-GB"/>
        </w:rPr>
        <w:t xml:space="preserve">(2014). Storyworlds across media: Toward a media-conscious narratology. </w:t>
      </w:r>
      <w:r w:rsidRPr="006268B1">
        <w:rPr>
          <w:rFonts w:ascii="Arial" w:eastAsia="Arial" w:hAnsi="Arial"/>
          <w:sz w:val="24"/>
          <w:lang w:val="en-GB"/>
        </w:rPr>
        <w:t>University of Nebraska Press.</w:t>
      </w:r>
    </w:p>
    <w:p w14:paraId="44AA0C46" w14:textId="051015A9" w:rsidR="00C749E0" w:rsidRPr="00414A02" w:rsidRDefault="00F15DD6" w:rsidP="00F15DD6">
      <w:pPr>
        <w:spacing w:line="360" w:lineRule="auto"/>
        <w:rPr>
          <w:lang w:val="es-AR"/>
        </w:rPr>
      </w:pPr>
      <w:r w:rsidRPr="006268B1">
        <w:rPr>
          <w:rFonts w:ascii="Arial" w:eastAsia="Arial" w:hAnsi="Arial"/>
          <w:sz w:val="24"/>
          <w:lang w:val="en-GB"/>
        </w:rPr>
        <w:t xml:space="preserve">Serres, M. (2013). </w:t>
      </w:r>
      <w:proofErr w:type="spellStart"/>
      <w:r w:rsidRPr="006268B1">
        <w:rPr>
          <w:rFonts w:ascii="Arial" w:eastAsia="Arial" w:hAnsi="Arial"/>
          <w:sz w:val="24"/>
          <w:lang w:val="en-GB"/>
        </w:rPr>
        <w:t>Pulgarcita</w:t>
      </w:r>
      <w:proofErr w:type="spellEnd"/>
      <w:r w:rsidRPr="006268B1">
        <w:rPr>
          <w:rFonts w:ascii="Arial" w:eastAsia="Arial" w:hAnsi="Arial"/>
          <w:sz w:val="24"/>
          <w:lang w:val="en-GB"/>
        </w:rPr>
        <w:t xml:space="preserve"> (A. Bixio, Trad.). </w:t>
      </w:r>
      <w:r w:rsidRPr="00F15DD6">
        <w:rPr>
          <w:rFonts w:ascii="Arial" w:eastAsia="Arial" w:hAnsi="Arial"/>
          <w:sz w:val="24"/>
          <w:lang w:val="es-AR"/>
        </w:rPr>
        <w:t>Fondo de Cultura Económica. (Obra original publicada en 2012)</w:t>
      </w:r>
    </w:p>
    <w:sectPr w:rsidR="00C749E0" w:rsidRPr="00414A02" w:rsidSect="00F15DD6">
      <w:headerReference w:type="default" r:id="rId7"/>
      <w:footerReference w:type="default" r:id="rId8"/>
      <w:pgSz w:w="12240" w:h="15840"/>
      <w:pgMar w:top="1985" w:right="1417" w:bottom="1417" w:left="1417"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DEA28" w14:textId="77777777" w:rsidR="00921B5C" w:rsidRDefault="00921B5C" w:rsidP="00414A02">
      <w:pPr>
        <w:spacing w:after="0" w:line="240" w:lineRule="auto"/>
      </w:pPr>
      <w:r>
        <w:separator/>
      </w:r>
    </w:p>
  </w:endnote>
  <w:endnote w:type="continuationSeparator" w:id="0">
    <w:p w14:paraId="2082E813" w14:textId="77777777" w:rsidR="00921B5C" w:rsidRDefault="00921B5C" w:rsidP="00414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A9C6A" w14:textId="0673DFC9" w:rsidR="00414A02" w:rsidRPr="00414A02" w:rsidRDefault="00414A02" w:rsidP="00414A02">
    <w:pPr>
      <w:pStyle w:val="Piedepgina"/>
      <w:jc w:val="center"/>
      <w:rPr>
        <w:rFonts w:ascii="Arial" w:hAnsi="Arial" w:cs="Arial"/>
        <w:sz w:val="20"/>
        <w:szCs w:val="20"/>
        <w:lang w:val="es-ES_tradnl"/>
      </w:rPr>
    </w:pPr>
    <w:r w:rsidRPr="00414A02">
      <w:rPr>
        <w:rFonts w:ascii="Arial" w:hAnsi="Arial" w:cs="Arial"/>
        <w:sz w:val="20"/>
        <w:szCs w:val="20"/>
        <w:lang w:val="es-ES_tradnl"/>
      </w:rPr>
      <w:t>Instituto de la Educación y del Conocimiento</w:t>
    </w:r>
  </w:p>
  <w:p w14:paraId="00CF6B7F" w14:textId="77777777" w:rsidR="00414A02" w:rsidRPr="00414A02" w:rsidRDefault="00414A02" w:rsidP="00414A02">
    <w:pPr>
      <w:pStyle w:val="Piedepgina"/>
      <w:jc w:val="center"/>
      <w:rPr>
        <w:rFonts w:ascii="Arial" w:hAnsi="Arial" w:cs="Arial"/>
        <w:sz w:val="20"/>
        <w:szCs w:val="20"/>
        <w:lang w:val="es-ES_tradnl"/>
      </w:rPr>
    </w:pPr>
    <w:r w:rsidRPr="00414A02">
      <w:rPr>
        <w:rFonts w:ascii="Arial" w:hAnsi="Arial" w:cs="Arial"/>
        <w:sz w:val="20"/>
        <w:szCs w:val="20"/>
        <w:lang w:val="es-ES_tradnl"/>
      </w:rPr>
      <w:t>Universidad Nacional de Tierra del Fuego, Antártida e Islas del Atlántico Sur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5896A" w14:textId="77777777" w:rsidR="00921B5C" w:rsidRDefault="00921B5C" w:rsidP="00414A02">
      <w:pPr>
        <w:spacing w:after="0" w:line="240" w:lineRule="auto"/>
      </w:pPr>
      <w:r>
        <w:separator/>
      </w:r>
    </w:p>
  </w:footnote>
  <w:footnote w:type="continuationSeparator" w:id="0">
    <w:p w14:paraId="0316C3A8" w14:textId="77777777" w:rsidR="00921B5C" w:rsidRDefault="00921B5C" w:rsidP="00414A02">
      <w:pPr>
        <w:spacing w:after="0" w:line="240" w:lineRule="auto"/>
      </w:pPr>
      <w:r>
        <w:continuationSeparator/>
      </w:r>
    </w:p>
  </w:footnote>
  <w:footnote w:id="1">
    <w:p w14:paraId="737CF3C0" w14:textId="77777777" w:rsidR="00414A02" w:rsidRPr="00414A02" w:rsidRDefault="00414A02" w:rsidP="00414A02">
      <w:pPr>
        <w:spacing w:after="0" w:line="240" w:lineRule="auto"/>
        <w:rPr>
          <w:rFonts w:ascii="Arial" w:hAnsi="Arial" w:cs="Arial"/>
          <w:sz w:val="20"/>
          <w:szCs w:val="20"/>
          <w:lang w:val="es-AR"/>
        </w:rPr>
      </w:pPr>
      <w:r w:rsidRPr="00414A02">
        <w:rPr>
          <w:rStyle w:val="Refdenotaalpie"/>
          <w:rFonts w:ascii="Arial" w:hAnsi="Arial" w:cs="Arial"/>
          <w:sz w:val="20"/>
          <w:szCs w:val="20"/>
        </w:rPr>
        <w:footnoteRef/>
      </w:r>
      <w:r w:rsidRPr="00C209FE">
        <w:rPr>
          <w:rFonts w:ascii="Arial" w:hAnsi="Arial" w:cs="Arial"/>
          <w:sz w:val="20"/>
          <w:szCs w:val="20"/>
          <w:lang w:val="es-AR"/>
        </w:rPr>
        <w:t xml:space="preserve"> </w:t>
      </w:r>
      <w:r w:rsidRPr="00414A02">
        <w:rPr>
          <w:rFonts w:ascii="Arial" w:hAnsi="Arial" w:cs="Arial"/>
          <w:sz w:val="20"/>
          <w:szCs w:val="20"/>
          <w:lang w:val="es-AR"/>
        </w:rPr>
        <w:t>Filiación institucional</w:t>
      </w:r>
    </w:p>
  </w:footnote>
  <w:footnote w:id="2">
    <w:p w14:paraId="1B9FF19B" w14:textId="77777777" w:rsidR="00414A02" w:rsidRPr="00414A02" w:rsidRDefault="00414A02" w:rsidP="00414A02">
      <w:pPr>
        <w:spacing w:after="0" w:line="240" w:lineRule="auto"/>
        <w:rPr>
          <w:rFonts w:ascii="Arial" w:hAnsi="Arial" w:cs="Arial"/>
          <w:sz w:val="20"/>
          <w:szCs w:val="20"/>
          <w:lang w:val="es-AR"/>
        </w:rPr>
      </w:pPr>
      <w:r w:rsidRPr="00414A02">
        <w:rPr>
          <w:rStyle w:val="Refdenotaalpie"/>
          <w:rFonts w:ascii="Arial" w:hAnsi="Arial" w:cs="Arial"/>
          <w:sz w:val="20"/>
          <w:szCs w:val="20"/>
        </w:rPr>
        <w:footnoteRef/>
      </w:r>
      <w:r w:rsidRPr="00C209FE">
        <w:rPr>
          <w:rFonts w:ascii="Arial" w:hAnsi="Arial" w:cs="Arial"/>
          <w:sz w:val="20"/>
          <w:szCs w:val="20"/>
          <w:lang w:val="es-AR"/>
        </w:rPr>
        <w:t xml:space="preserve"> </w:t>
      </w:r>
      <w:r w:rsidRPr="00414A02">
        <w:rPr>
          <w:rFonts w:ascii="Arial" w:hAnsi="Arial" w:cs="Arial"/>
          <w:sz w:val="20"/>
          <w:szCs w:val="20"/>
          <w:lang w:val="es-AR"/>
        </w:rPr>
        <w:t>Filiación institucional</w:t>
      </w:r>
    </w:p>
  </w:footnote>
  <w:footnote w:id="3">
    <w:p w14:paraId="62048DAA" w14:textId="77777777" w:rsidR="00414A02" w:rsidRPr="00414A02" w:rsidRDefault="00414A02" w:rsidP="00414A02">
      <w:pPr>
        <w:spacing w:after="0" w:line="240" w:lineRule="auto"/>
        <w:rPr>
          <w:rFonts w:ascii="Arial" w:hAnsi="Arial" w:cs="Arial"/>
          <w:sz w:val="20"/>
          <w:szCs w:val="20"/>
          <w:lang w:val="es-AR"/>
        </w:rPr>
      </w:pPr>
      <w:r w:rsidRPr="00414A02">
        <w:rPr>
          <w:rStyle w:val="Refdenotaalpie"/>
          <w:rFonts w:ascii="Arial" w:hAnsi="Arial" w:cs="Arial"/>
          <w:sz w:val="20"/>
          <w:szCs w:val="20"/>
        </w:rPr>
        <w:footnoteRef/>
      </w:r>
      <w:r w:rsidRPr="00C209FE">
        <w:rPr>
          <w:rFonts w:ascii="Arial" w:hAnsi="Arial" w:cs="Arial"/>
          <w:sz w:val="20"/>
          <w:szCs w:val="20"/>
          <w:lang w:val="es-AR"/>
        </w:rPr>
        <w:t xml:space="preserve"> </w:t>
      </w:r>
      <w:r w:rsidRPr="00414A02">
        <w:rPr>
          <w:rFonts w:ascii="Arial" w:hAnsi="Arial" w:cs="Arial"/>
          <w:sz w:val="20"/>
          <w:szCs w:val="20"/>
          <w:lang w:val="es-AR"/>
        </w:rPr>
        <w:t>Filiación institucional</w:t>
      </w:r>
    </w:p>
    <w:p w14:paraId="63BBA219" w14:textId="77777777" w:rsidR="00414A02" w:rsidRPr="00414A02" w:rsidRDefault="00414A02">
      <w:pPr>
        <w:pStyle w:val="Textonotapie"/>
        <w:rPr>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B2286" w14:textId="5DA83B7B" w:rsidR="002B596D" w:rsidRDefault="00C209FE">
    <w:pPr>
      <w:pStyle w:val="Encabezado"/>
    </w:pPr>
    <w:r>
      <w:rPr>
        <w:noProof/>
      </w:rPr>
      <w:drawing>
        <wp:anchor distT="0" distB="0" distL="114300" distR="114300" simplePos="0" relativeHeight="251659264" behindDoc="1" locked="0" layoutInCell="1" allowOverlap="1" wp14:anchorId="7B7739C7" wp14:editId="7D20246F">
          <wp:simplePos x="0" y="0"/>
          <wp:positionH relativeFrom="column">
            <wp:posOffset>820420</wp:posOffset>
          </wp:positionH>
          <wp:positionV relativeFrom="paragraph">
            <wp:posOffset>154940</wp:posOffset>
          </wp:positionV>
          <wp:extent cx="3771900" cy="1084580"/>
          <wp:effectExtent l="0" t="0" r="0" b="1270"/>
          <wp:wrapTight wrapText="bothSides">
            <wp:wrapPolygon edited="0">
              <wp:start x="0" y="0"/>
              <wp:lineTo x="0" y="21246"/>
              <wp:lineTo x="21491" y="21246"/>
              <wp:lineTo x="21491" y="0"/>
              <wp:lineTo x="0" y="0"/>
            </wp:wrapPolygon>
          </wp:wrapTight>
          <wp:docPr id="532552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643229" name="Imagen 1975643229"/>
                  <pic:cNvPicPr/>
                </pic:nvPicPr>
                <pic:blipFill>
                  <a:blip r:embed="rId1"/>
                  <a:stretch>
                    <a:fillRect/>
                  </a:stretch>
                </pic:blipFill>
                <pic:spPr>
                  <a:xfrm>
                    <a:off x="0" y="0"/>
                    <a:ext cx="3771900" cy="10845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463546195">
    <w:abstractNumId w:val="8"/>
  </w:num>
  <w:num w:numId="2" w16cid:durableId="2014647980">
    <w:abstractNumId w:val="6"/>
  </w:num>
  <w:num w:numId="3" w16cid:durableId="2085641541">
    <w:abstractNumId w:val="5"/>
  </w:num>
  <w:num w:numId="4" w16cid:durableId="1599799357">
    <w:abstractNumId w:val="4"/>
  </w:num>
  <w:num w:numId="5" w16cid:durableId="817573631">
    <w:abstractNumId w:val="7"/>
  </w:num>
  <w:num w:numId="6" w16cid:durableId="214391234">
    <w:abstractNumId w:val="3"/>
  </w:num>
  <w:num w:numId="7" w16cid:durableId="346521343">
    <w:abstractNumId w:val="2"/>
  </w:num>
  <w:num w:numId="8" w16cid:durableId="1255897033">
    <w:abstractNumId w:val="1"/>
  </w:num>
  <w:num w:numId="9" w16cid:durableId="340737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7A06"/>
    <w:rsid w:val="000305AB"/>
    <w:rsid w:val="00034616"/>
    <w:rsid w:val="0006063C"/>
    <w:rsid w:val="00060D57"/>
    <w:rsid w:val="00065826"/>
    <w:rsid w:val="000D61F6"/>
    <w:rsid w:val="000F4957"/>
    <w:rsid w:val="0015074B"/>
    <w:rsid w:val="001519AE"/>
    <w:rsid w:val="001F556E"/>
    <w:rsid w:val="00203C60"/>
    <w:rsid w:val="00214BEE"/>
    <w:rsid w:val="00256D4C"/>
    <w:rsid w:val="00262769"/>
    <w:rsid w:val="0029639D"/>
    <w:rsid w:val="002B596D"/>
    <w:rsid w:val="002E60AE"/>
    <w:rsid w:val="00326F90"/>
    <w:rsid w:val="00377B47"/>
    <w:rsid w:val="00381D21"/>
    <w:rsid w:val="00414A02"/>
    <w:rsid w:val="00420418"/>
    <w:rsid w:val="00453018"/>
    <w:rsid w:val="00490832"/>
    <w:rsid w:val="004A25BE"/>
    <w:rsid w:val="004D3897"/>
    <w:rsid w:val="004E7EFF"/>
    <w:rsid w:val="006268B1"/>
    <w:rsid w:val="00673359"/>
    <w:rsid w:val="006C61D2"/>
    <w:rsid w:val="006C705D"/>
    <w:rsid w:val="00723366"/>
    <w:rsid w:val="0072617E"/>
    <w:rsid w:val="007370A3"/>
    <w:rsid w:val="00780D0F"/>
    <w:rsid w:val="007B2083"/>
    <w:rsid w:val="007C2261"/>
    <w:rsid w:val="007F73AD"/>
    <w:rsid w:val="008B17A9"/>
    <w:rsid w:val="008C2E01"/>
    <w:rsid w:val="00921B5C"/>
    <w:rsid w:val="00931217"/>
    <w:rsid w:val="00955558"/>
    <w:rsid w:val="009E4ACA"/>
    <w:rsid w:val="00AA1D8D"/>
    <w:rsid w:val="00AD7DA1"/>
    <w:rsid w:val="00AF1DAC"/>
    <w:rsid w:val="00B47730"/>
    <w:rsid w:val="00BC4044"/>
    <w:rsid w:val="00C03F53"/>
    <w:rsid w:val="00C209FE"/>
    <w:rsid w:val="00C749E0"/>
    <w:rsid w:val="00CB0664"/>
    <w:rsid w:val="00CB3806"/>
    <w:rsid w:val="00D72764"/>
    <w:rsid w:val="00D86390"/>
    <w:rsid w:val="00DA1B94"/>
    <w:rsid w:val="00DE5709"/>
    <w:rsid w:val="00E12E36"/>
    <w:rsid w:val="00EF7B17"/>
    <w:rsid w:val="00F03240"/>
    <w:rsid w:val="00F15DD6"/>
    <w:rsid w:val="00F91CF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576CC9"/>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onotapie">
    <w:name w:val="footnote text"/>
    <w:basedOn w:val="Normal"/>
    <w:link w:val="TextonotapieCar"/>
    <w:uiPriority w:val="99"/>
    <w:semiHidden/>
    <w:unhideWhenUsed/>
    <w:rsid w:val="00414A0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414A02"/>
    <w:rPr>
      <w:sz w:val="20"/>
      <w:szCs w:val="20"/>
    </w:rPr>
  </w:style>
  <w:style w:type="character" w:styleId="Refdenotaalpie">
    <w:name w:val="footnote reference"/>
    <w:basedOn w:val="Fuentedeprrafopredeter"/>
    <w:uiPriority w:val="99"/>
    <w:semiHidden/>
    <w:unhideWhenUsed/>
    <w:rsid w:val="00414A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1174</Words>
  <Characters>7209</Characters>
  <Application>Microsoft Office Word</Application>
  <DocSecurity>0</DocSecurity>
  <Lines>114</Lines>
  <Paragraphs>29</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8354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2026-04-18T22:11:00Z</dcterms:created>
  <dcterms:modified xsi:type="dcterms:W3CDTF">2026-04-19T13:58:00Z</dcterms:modified>
  <cp:category/>
</cp:coreProperties>
</file>