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57CEBF" w14:textId="77777777" w:rsidR="00401820" w:rsidRDefault="00000000" w:rsidP="00424057">
      <w:pPr>
        <w:spacing w:line="360" w:lineRule="auto"/>
        <w:rPr>
          <w:rFonts w:ascii="Arial" w:eastAsia="Arial" w:hAnsi="Arial" w:cs="Arial"/>
          <w:b/>
          <w:bCs/>
          <w:sz w:val="28"/>
          <w:szCs w:val="28"/>
        </w:rPr>
      </w:pPr>
      <w:r>
        <w:rPr>
          <w:noProof/>
        </w:rPr>
        <w:drawing>
          <wp:anchor distT="0" distB="0" distL="114300" distR="114300" simplePos="0" relativeHeight="251658240" behindDoc="0" locked="0" layoutInCell="1" hidden="0" allowOverlap="1" wp14:anchorId="54108868" wp14:editId="194DDC45">
            <wp:simplePos x="0" y="0"/>
            <wp:positionH relativeFrom="column">
              <wp:posOffset>552450</wp:posOffset>
            </wp:positionH>
            <wp:positionV relativeFrom="paragraph">
              <wp:posOffset>0</wp:posOffset>
            </wp:positionV>
            <wp:extent cx="4332605" cy="1246505"/>
            <wp:effectExtent l="0" t="0" r="0" b="0"/>
            <wp:wrapSquare wrapText="bothSides" distT="0" distB="0" distL="114300" distR="114300"/>
            <wp:docPr id="197564323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4332605" cy="1246505"/>
                    </a:xfrm>
                    <a:prstGeom prst="rect">
                      <a:avLst/>
                    </a:prstGeom>
                    <a:ln/>
                  </pic:spPr>
                </pic:pic>
              </a:graphicData>
            </a:graphic>
          </wp:anchor>
        </w:drawing>
      </w:r>
    </w:p>
    <w:p w14:paraId="62A33F6A" w14:textId="77777777" w:rsidR="00401820" w:rsidRDefault="00401820">
      <w:pPr>
        <w:spacing w:line="360" w:lineRule="auto"/>
        <w:jc w:val="center"/>
        <w:rPr>
          <w:rFonts w:ascii="Arial" w:eastAsia="Arial" w:hAnsi="Arial" w:cs="Arial"/>
          <w:b/>
          <w:bCs/>
          <w:sz w:val="28"/>
          <w:szCs w:val="28"/>
        </w:rPr>
      </w:pPr>
    </w:p>
    <w:p w14:paraId="2BC4B108" w14:textId="77777777" w:rsidR="00401820" w:rsidRDefault="00401820">
      <w:pPr>
        <w:spacing w:line="360" w:lineRule="auto"/>
        <w:jc w:val="center"/>
        <w:rPr>
          <w:rFonts w:ascii="Arial" w:eastAsia="Arial" w:hAnsi="Arial" w:cs="Arial"/>
          <w:b/>
          <w:bCs/>
          <w:sz w:val="28"/>
          <w:szCs w:val="28"/>
        </w:rPr>
      </w:pPr>
    </w:p>
    <w:p w14:paraId="33C84C7C" w14:textId="77777777" w:rsidR="00401820" w:rsidRDefault="00401820">
      <w:pPr>
        <w:spacing w:line="360" w:lineRule="auto"/>
        <w:jc w:val="center"/>
        <w:rPr>
          <w:rFonts w:ascii="Arial" w:eastAsia="Arial" w:hAnsi="Arial" w:cs="Arial"/>
          <w:b/>
          <w:bCs/>
          <w:sz w:val="28"/>
          <w:szCs w:val="28"/>
        </w:rPr>
      </w:pPr>
    </w:p>
    <w:p w14:paraId="262AFCF3" w14:textId="77777777" w:rsidR="00401820" w:rsidRDefault="00000000">
      <w:pPr>
        <w:spacing w:line="360" w:lineRule="auto"/>
        <w:jc w:val="center"/>
        <w:rPr>
          <w:rFonts w:ascii="Arial" w:eastAsia="Arial" w:hAnsi="Arial" w:cs="Arial"/>
          <w:b/>
          <w:bCs/>
          <w:sz w:val="28"/>
          <w:szCs w:val="28"/>
        </w:rPr>
      </w:pPr>
      <w:r>
        <w:rPr>
          <w:rFonts w:ascii="Arial" w:eastAsia="Arial" w:hAnsi="Arial" w:cs="Arial"/>
          <w:b/>
          <w:bCs/>
          <w:sz w:val="28"/>
          <w:szCs w:val="28"/>
        </w:rPr>
        <w:t>Relaciones territoriales en las prácticas de enseñanza de tres escuelas rurales de la zona norte de Tierra del Fuego durante 2023.</w:t>
      </w:r>
    </w:p>
    <w:p w14:paraId="5A36D031" w14:textId="77777777" w:rsidR="00401820" w:rsidRDefault="00401820">
      <w:pPr>
        <w:spacing w:line="360" w:lineRule="auto"/>
        <w:jc w:val="center"/>
        <w:rPr>
          <w:rFonts w:ascii="Arial" w:eastAsia="Arial" w:hAnsi="Arial" w:cs="Arial"/>
          <w:b/>
          <w:bCs/>
          <w:sz w:val="28"/>
          <w:szCs w:val="28"/>
        </w:rPr>
      </w:pPr>
    </w:p>
    <w:p w14:paraId="03DDC072" w14:textId="77777777" w:rsidR="00401820" w:rsidRPr="00424057" w:rsidRDefault="00000000">
      <w:pPr>
        <w:spacing w:line="360" w:lineRule="auto"/>
        <w:jc w:val="center"/>
        <w:rPr>
          <w:rFonts w:ascii="Arial" w:eastAsia="Arial" w:hAnsi="Arial" w:cs="Arial"/>
          <w:b/>
          <w:bCs/>
          <w:sz w:val="28"/>
          <w:szCs w:val="28"/>
          <w:lang w:val="en-US"/>
        </w:rPr>
      </w:pPr>
      <w:r w:rsidRPr="00424057">
        <w:rPr>
          <w:rFonts w:ascii="Arial" w:eastAsia="Arial" w:hAnsi="Arial" w:cs="Arial"/>
          <w:b/>
          <w:bCs/>
          <w:sz w:val="28"/>
          <w:szCs w:val="28"/>
          <w:lang w:val="en-US"/>
        </w:rPr>
        <w:t>Territorial relations in the teaching practices of three rural schools in the northern area of Tierra del Fuego during 2023.</w:t>
      </w:r>
    </w:p>
    <w:p w14:paraId="6D2C8451" w14:textId="77777777" w:rsidR="00401820" w:rsidRPr="00424057" w:rsidRDefault="00401820">
      <w:pPr>
        <w:spacing w:line="360" w:lineRule="auto"/>
        <w:jc w:val="center"/>
        <w:rPr>
          <w:rFonts w:ascii="Arial" w:eastAsia="Arial" w:hAnsi="Arial" w:cs="Arial"/>
          <w:b/>
          <w:bCs/>
          <w:sz w:val="28"/>
          <w:szCs w:val="28"/>
          <w:lang w:val="en-US"/>
        </w:rPr>
      </w:pPr>
    </w:p>
    <w:p w14:paraId="5FDD0C63" w14:textId="77777777" w:rsidR="00401820" w:rsidRDefault="00000000">
      <w:pPr>
        <w:spacing w:line="360" w:lineRule="auto"/>
        <w:jc w:val="center"/>
        <w:rPr>
          <w:rFonts w:ascii="Arial" w:eastAsia="Arial" w:hAnsi="Arial" w:cs="Arial"/>
          <w:b/>
          <w:bCs/>
          <w:sz w:val="28"/>
          <w:szCs w:val="28"/>
        </w:rPr>
      </w:pPr>
      <w:proofErr w:type="spellStart"/>
      <w:r>
        <w:rPr>
          <w:rFonts w:ascii="Arial" w:eastAsia="Arial" w:hAnsi="Arial" w:cs="Arial"/>
          <w:b/>
          <w:bCs/>
          <w:sz w:val="28"/>
          <w:szCs w:val="28"/>
        </w:rPr>
        <w:t>Relações</w:t>
      </w:r>
      <w:proofErr w:type="spellEnd"/>
      <w:r>
        <w:rPr>
          <w:rFonts w:ascii="Arial" w:eastAsia="Arial" w:hAnsi="Arial" w:cs="Arial"/>
          <w:b/>
          <w:bCs/>
          <w:sz w:val="28"/>
          <w:szCs w:val="28"/>
        </w:rPr>
        <w:t xml:space="preserve"> </w:t>
      </w:r>
      <w:proofErr w:type="spellStart"/>
      <w:r>
        <w:rPr>
          <w:rFonts w:ascii="Arial" w:eastAsia="Arial" w:hAnsi="Arial" w:cs="Arial"/>
          <w:b/>
          <w:bCs/>
          <w:sz w:val="28"/>
          <w:szCs w:val="28"/>
        </w:rPr>
        <w:t>territoriais</w:t>
      </w:r>
      <w:proofErr w:type="spellEnd"/>
      <w:r>
        <w:rPr>
          <w:rFonts w:ascii="Arial" w:eastAsia="Arial" w:hAnsi="Arial" w:cs="Arial"/>
          <w:b/>
          <w:bCs/>
          <w:sz w:val="28"/>
          <w:szCs w:val="28"/>
        </w:rPr>
        <w:t xml:space="preserve"> </w:t>
      </w:r>
      <w:proofErr w:type="spellStart"/>
      <w:r>
        <w:rPr>
          <w:rFonts w:ascii="Arial" w:eastAsia="Arial" w:hAnsi="Arial" w:cs="Arial"/>
          <w:b/>
          <w:bCs/>
          <w:sz w:val="28"/>
          <w:szCs w:val="28"/>
        </w:rPr>
        <w:t>nas</w:t>
      </w:r>
      <w:proofErr w:type="spellEnd"/>
      <w:r>
        <w:rPr>
          <w:rFonts w:ascii="Arial" w:eastAsia="Arial" w:hAnsi="Arial" w:cs="Arial"/>
          <w:b/>
          <w:bCs/>
          <w:sz w:val="28"/>
          <w:szCs w:val="28"/>
        </w:rPr>
        <w:t xml:space="preserve"> </w:t>
      </w:r>
      <w:proofErr w:type="spellStart"/>
      <w:r>
        <w:rPr>
          <w:rFonts w:ascii="Arial" w:eastAsia="Arial" w:hAnsi="Arial" w:cs="Arial"/>
          <w:b/>
          <w:bCs/>
          <w:sz w:val="28"/>
          <w:szCs w:val="28"/>
        </w:rPr>
        <w:t>práticas</w:t>
      </w:r>
      <w:proofErr w:type="spellEnd"/>
      <w:r>
        <w:rPr>
          <w:rFonts w:ascii="Arial" w:eastAsia="Arial" w:hAnsi="Arial" w:cs="Arial"/>
          <w:b/>
          <w:bCs/>
          <w:sz w:val="28"/>
          <w:szCs w:val="28"/>
        </w:rPr>
        <w:t xml:space="preserve"> de </w:t>
      </w:r>
      <w:proofErr w:type="spellStart"/>
      <w:r>
        <w:rPr>
          <w:rFonts w:ascii="Arial" w:eastAsia="Arial" w:hAnsi="Arial" w:cs="Arial"/>
          <w:b/>
          <w:bCs/>
          <w:sz w:val="28"/>
          <w:szCs w:val="28"/>
        </w:rPr>
        <w:t>ensino</w:t>
      </w:r>
      <w:proofErr w:type="spellEnd"/>
      <w:r>
        <w:rPr>
          <w:rFonts w:ascii="Arial" w:eastAsia="Arial" w:hAnsi="Arial" w:cs="Arial"/>
          <w:b/>
          <w:bCs/>
          <w:sz w:val="28"/>
          <w:szCs w:val="28"/>
        </w:rPr>
        <w:t xml:space="preserve"> de </w:t>
      </w:r>
      <w:proofErr w:type="spellStart"/>
      <w:r>
        <w:rPr>
          <w:rFonts w:ascii="Arial" w:eastAsia="Arial" w:hAnsi="Arial" w:cs="Arial"/>
          <w:b/>
          <w:bCs/>
          <w:sz w:val="28"/>
          <w:szCs w:val="28"/>
        </w:rPr>
        <w:t>três</w:t>
      </w:r>
      <w:proofErr w:type="spellEnd"/>
      <w:r>
        <w:rPr>
          <w:rFonts w:ascii="Arial" w:eastAsia="Arial" w:hAnsi="Arial" w:cs="Arial"/>
          <w:b/>
          <w:bCs/>
          <w:sz w:val="28"/>
          <w:szCs w:val="28"/>
        </w:rPr>
        <w:t xml:space="preserve"> </w:t>
      </w:r>
      <w:proofErr w:type="spellStart"/>
      <w:r>
        <w:rPr>
          <w:rFonts w:ascii="Arial" w:eastAsia="Arial" w:hAnsi="Arial" w:cs="Arial"/>
          <w:b/>
          <w:bCs/>
          <w:sz w:val="28"/>
          <w:szCs w:val="28"/>
        </w:rPr>
        <w:t>escolas</w:t>
      </w:r>
      <w:proofErr w:type="spellEnd"/>
      <w:r>
        <w:rPr>
          <w:rFonts w:ascii="Arial" w:eastAsia="Arial" w:hAnsi="Arial" w:cs="Arial"/>
          <w:b/>
          <w:bCs/>
          <w:sz w:val="28"/>
          <w:szCs w:val="28"/>
        </w:rPr>
        <w:t xml:space="preserve"> </w:t>
      </w:r>
      <w:proofErr w:type="spellStart"/>
      <w:r>
        <w:rPr>
          <w:rFonts w:ascii="Arial" w:eastAsia="Arial" w:hAnsi="Arial" w:cs="Arial"/>
          <w:b/>
          <w:bCs/>
          <w:sz w:val="28"/>
          <w:szCs w:val="28"/>
        </w:rPr>
        <w:t>rurais</w:t>
      </w:r>
      <w:proofErr w:type="spellEnd"/>
      <w:r>
        <w:rPr>
          <w:rFonts w:ascii="Arial" w:eastAsia="Arial" w:hAnsi="Arial" w:cs="Arial"/>
          <w:b/>
          <w:bCs/>
          <w:sz w:val="28"/>
          <w:szCs w:val="28"/>
        </w:rPr>
        <w:t xml:space="preserve"> da </w:t>
      </w:r>
      <w:proofErr w:type="spellStart"/>
      <w:r>
        <w:rPr>
          <w:rFonts w:ascii="Arial" w:eastAsia="Arial" w:hAnsi="Arial" w:cs="Arial"/>
          <w:b/>
          <w:bCs/>
          <w:sz w:val="28"/>
          <w:szCs w:val="28"/>
        </w:rPr>
        <w:t>região</w:t>
      </w:r>
      <w:proofErr w:type="spellEnd"/>
      <w:r>
        <w:rPr>
          <w:rFonts w:ascii="Arial" w:eastAsia="Arial" w:hAnsi="Arial" w:cs="Arial"/>
          <w:b/>
          <w:bCs/>
          <w:sz w:val="28"/>
          <w:szCs w:val="28"/>
        </w:rPr>
        <w:t xml:space="preserve"> norte da Tierra del Fuego durante o ano de 2023.</w:t>
      </w:r>
    </w:p>
    <w:p w14:paraId="3E3120A2" w14:textId="77777777" w:rsidR="00401820" w:rsidRDefault="00000000">
      <w:pPr>
        <w:spacing w:line="360" w:lineRule="auto"/>
        <w:jc w:val="center"/>
      </w:pPr>
      <w:r>
        <w:t>Autor 1</w:t>
      </w:r>
      <w:r>
        <w:rPr>
          <w:vertAlign w:val="superscript"/>
        </w:rPr>
        <w:footnoteReference w:id="1"/>
      </w:r>
      <w:r>
        <w:t>, Autor 2</w:t>
      </w:r>
      <w:r>
        <w:rPr>
          <w:vertAlign w:val="superscript"/>
        </w:rPr>
        <w:footnoteReference w:id="2"/>
      </w:r>
      <w:r>
        <w:t>, Autor 3</w:t>
      </w:r>
      <w:r>
        <w:rPr>
          <w:vertAlign w:val="superscript"/>
        </w:rPr>
        <w:footnoteReference w:id="3"/>
      </w:r>
      <w:r>
        <w:t xml:space="preserve"> </w:t>
      </w:r>
    </w:p>
    <w:p w14:paraId="7DBDCB8D" w14:textId="77777777" w:rsidR="00401820" w:rsidRDefault="00000000">
      <w:pPr>
        <w:spacing w:line="360" w:lineRule="auto"/>
        <w:jc w:val="center"/>
      </w:pPr>
      <w:r>
        <w:t>No colocar los datos de los autores para garantizar la evaluación a doble ciego</w:t>
      </w:r>
    </w:p>
    <w:p w14:paraId="7536E538" w14:textId="77777777" w:rsidR="00401820" w:rsidRDefault="00000000">
      <w:pPr>
        <w:spacing w:line="360" w:lineRule="auto"/>
        <w:rPr>
          <w:rFonts w:ascii="Arial" w:eastAsia="Arial" w:hAnsi="Arial" w:cs="Arial"/>
          <w:sz w:val="24"/>
          <w:szCs w:val="24"/>
        </w:rPr>
      </w:pPr>
      <w:r>
        <w:rPr>
          <w:rFonts w:ascii="Arial" w:eastAsia="Arial" w:hAnsi="Arial" w:cs="Arial"/>
          <w:sz w:val="24"/>
          <w:szCs w:val="24"/>
        </w:rPr>
        <w:t xml:space="preserve">Palabras clave: Educación rural- Territorio - Prácticas de enseñanza </w:t>
      </w:r>
    </w:p>
    <w:p w14:paraId="56047F11" w14:textId="77777777" w:rsidR="00401820" w:rsidRPr="00424057" w:rsidRDefault="00000000">
      <w:pPr>
        <w:spacing w:line="360" w:lineRule="auto"/>
        <w:rPr>
          <w:rFonts w:ascii="Arial" w:eastAsia="Arial" w:hAnsi="Arial" w:cs="Arial"/>
          <w:sz w:val="24"/>
          <w:szCs w:val="24"/>
          <w:lang w:val="en-US"/>
        </w:rPr>
      </w:pPr>
      <w:r w:rsidRPr="00424057">
        <w:rPr>
          <w:rFonts w:ascii="Arial" w:eastAsia="Arial" w:hAnsi="Arial" w:cs="Arial"/>
          <w:sz w:val="24"/>
          <w:szCs w:val="24"/>
          <w:lang w:val="en-US"/>
        </w:rPr>
        <w:t>Keywords: Rural education - Territory - Teaching practices.</w:t>
      </w:r>
    </w:p>
    <w:p w14:paraId="058B9468" w14:textId="77777777" w:rsidR="00401820" w:rsidRDefault="00000000">
      <w:pPr>
        <w:spacing w:line="360" w:lineRule="auto"/>
        <w:rPr>
          <w:rFonts w:ascii="Arial" w:eastAsia="Arial" w:hAnsi="Arial" w:cs="Arial"/>
          <w:sz w:val="24"/>
          <w:szCs w:val="24"/>
        </w:rPr>
      </w:pPr>
      <w:proofErr w:type="spellStart"/>
      <w:r>
        <w:rPr>
          <w:rFonts w:ascii="Arial" w:eastAsia="Arial" w:hAnsi="Arial" w:cs="Arial"/>
          <w:sz w:val="24"/>
          <w:szCs w:val="24"/>
        </w:rPr>
        <w:t>Palavras</w:t>
      </w:r>
      <w:proofErr w:type="spellEnd"/>
      <w:r>
        <w:rPr>
          <w:rFonts w:ascii="Arial" w:eastAsia="Arial" w:hAnsi="Arial" w:cs="Arial"/>
          <w:sz w:val="24"/>
          <w:szCs w:val="24"/>
        </w:rPr>
        <w:t xml:space="preserve">-chave: </w:t>
      </w:r>
      <w:proofErr w:type="spellStart"/>
      <w:r>
        <w:rPr>
          <w:rFonts w:ascii="Arial" w:eastAsia="Arial" w:hAnsi="Arial" w:cs="Arial"/>
          <w:sz w:val="24"/>
          <w:szCs w:val="24"/>
        </w:rPr>
        <w:t>Educação</w:t>
      </w:r>
      <w:proofErr w:type="spellEnd"/>
      <w:r>
        <w:rPr>
          <w:rFonts w:ascii="Arial" w:eastAsia="Arial" w:hAnsi="Arial" w:cs="Arial"/>
          <w:sz w:val="24"/>
          <w:szCs w:val="24"/>
        </w:rPr>
        <w:t xml:space="preserve"> rural; </w:t>
      </w:r>
      <w:proofErr w:type="spellStart"/>
      <w:proofErr w:type="gramStart"/>
      <w:r>
        <w:rPr>
          <w:rFonts w:ascii="Arial" w:eastAsia="Arial" w:hAnsi="Arial" w:cs="Arial"/>
          <w:sz w:val="24"/>
          <w:szCs w:val="24"/>
        </w:rPr>
        <w:t>Território</w:t>
      </w:r>
      <w:proofErr w:type="spellEnd"/>
      <w:r>
        <w:rPr>
          <w:rFonts w:ascii="Arial" w:eastAsia="Arial" w:hAnsi="Arial" w:cs="Arial"/>
          <w:sz w:val="24"/>
          <w:szCs w:val="24"/>
        </w:rPr>
        <w:t xml:space="preserve">;  </w:t>
      </w:r>
      <w:proofErr w:type="spellStart"/>
      <w:r>
        <w:rPr>
          <w:rFonts w:ascii="Arial" w:eastAsia="Arial" w:hAnsi="Arial" w:cs="Arial"/>
          <w:sz w:val="24"/>
          <w:szCs w:val="24"/>
        </w:rPr>
        <w:t>Práticas</w:t>
      </w:r>
      <w:proofErr w:type="spellEnd"/>
      <w:proofErr w:type="gramEnd"/>
      <w:r>
        <w:rPr>
          <w:rFonts w:ascii="Arial" w:eastAsia="Arial" w:hAnsi="Arial" w:cs="Arial"/>
          <w:sz w:val="24"/>
          <w:szCs w:val="24"/>
        </w:rPr>
        <w:t xml:space="preserve"> de </w:t>
      </w:r>
      <w:proofErr w:type="spellStart"/>
      <w:r>
        <w:rPr>
          <w:rFonts w:ascii="Arial" w:eastAsia="Arial" w:hAnsi="Arial" w:cs="Arial"/>
          <w:sz w:val="24"/>
          <w:szCs w:val="24"/>
        </w:rPr>
        <w:t>ensino</w:t>
      </w:r>
      <w:proofErr w:type="spellEnd"/>
      <w:r>
        <w:rPr>
          <w:rFonts w:ascii="Arial" w:eastAsia="Arial" w:hAnsi="Arial" w:cs="Arial"/>
          <w:sz w:val="24"/>
          <w:szCs w:val="24"/>
        </w:rPr>
        <w:t>.</w:t>
      </w:r>
    </w:p>
    <w:p w14:paraId="7C55F464" w14:textId="77777777" w:rsidR="00401820" w:rsidRDefault="00401820">
      <w:pPr>
        <w:shd w:val="clear" w:color="auto" w:fill="FFFFFF"/>
        <w:spacing w:line="335" w:lineRule="auto"/>
        <w:jc w:val="both"/>
        <w:rPr>
          <w:rFonts w:ascii="Arial" w:eastAsia="Arial" w:hAnsi="Arial" w:cs="Arial"/>
          <w:b/>
          <w:bCs/>
          <w:color w:val="0A0A0A"/>
          <w:sz w:val="24"/>
          <w:szCs w:val="24"/>
        </w:rPr>
      </w:pPr>
    </w:p>
    <w:p w14:paraId="088DA781" w14:textId="77777777" w:rsidR="00401820" w:rsidRDefault="00000000">
      <w:pPr>
        <w:shd w:val="clear" w:color="auto" w:fill="FFFFFF"/>
        <w:spacing w:line="360" w:lineRule="auto"/>
        <w:jc w:val="both"/>
        <w:rPr>
          <w:rFonts w:ascii="Arial" w:eastAsia="Arial" w:hAnsi="Arial" w:cs="Arial"/>
          <w:b/>
          <w:bCs/>
          <w:color w:val="0A0A0A"/>
          <w:sz w:val="24"/>
          <w:szCs w:val="24"/>
        </w:rPr>
      </w:pPr>
      <w:r>
        <w:rPr>
          <w:rFonts w:ascii="Arial" w:eastAsia="Arial" w:hAnsi="Arial" w:cs="Arial"/>
          <w:b/>
          <w:bCs/>
          <w:color w:val="0A0A0A"/>
          <w:sz w:val="24"/>
          <w:szCs w:val="24"/>
        </w:rPr>
        <w:lastRenderedPageBreak/>
        <w:t>Introducción</w:t>
      </w:r>
    </w:p>
    <w:p w14:paraId="3D5FA70D" w14:textId="77777777" w:rsidR="00401820" w:rsidRDefault="00000000">
      <w:pPr>
        <w:spacing w:before="240" w:after="240" w:line="360" w:lineRule="auto"/>
        <w:jc w:val="both"/>
        <w:rPr>
          <w:rFonts w:ascii="Arial" w:eastAsia="Arial" w:hAnsi="Arial" w:cs="Arial"/>
          <w:sz w:val="24"/>
          <w:szCs w:val="24"/>
        </w:rPr>
      </w:pPr>
      <w:r>
        <w:rPr>
          <w:rFonts w:ascii="Arial" w:eastAsia="Arial" w:hAnsi="Arial" w:cs="Arial"/>
          <w:sz w:val="24"/>
          <w:szCs w:val="24"/>
        </w:rPr>
        <w:t xml:space="preserve">La presente ponencia tiene como objetivo analizar la configuración de las relaciones territoriales que se establecen en torno a las prácticas de enseñanza de las escuelas rurales de la zona norte de Tierra del Fuego durante el año 2023. Esta comunicación se encuadra en un proyecto de investigación “Prácticas de Gestión Curricular en las escuelas rurales de la provincia de Tierra del Fuego, Antártida e Islas del Atlántico Sur. Un estudio descriptivo entre los años 2022- 2024”. </w:t>
      </w:r>
    </w:p>
    <w:p w14:paraId="1998777D" w14:textId="77777777" w:rsidR="00401820" w:rsidRDefault="00000000">
      <w:pPr>
        <w:spacing w:before="240" w:after="240" w:line="360" w:lineRule="auto"/>
        <w:jc w:val="both"/>
        <w:rPr>
          <w:rFonts w:ascii="Arial" w:eastAsia="Arial" w:hAnsi="Arial" w:cs="Arial"/>
          <w:sz w:val="24"/>
          <w:szCs w:val="24"/>
        </w:rPr>
      </w:pPr>
      <w:r>
        <w:rPr>
          <w:rFonts w:ascii="Arial" w:eastAsia="Arial" w:hAnsi="Arial" w:cs="Arial"/>
          <w:sz w:val="24"/>
          <w:szCs w:val="24"/>
        </w:rPr>
        <w:t>A fin de entender a la educación rural como una de las modalidades del sistema educativo, encontramos en la Ley 26.206 (</w:t>
      </w:r>
      <w:proofErr w:type="gramStart"/>
      <w:r>
        <w:rPr>
          <w:rFonts w:ascii="Arial" w:eastAsia="Arial" w:hAnsi="Arial" w:cs="Arial"/>
          <w:sz w:val="24"/>
          <w:szCs w:val="24"/>
        </w:rPr>
        <w:t>LEN)  un</w:t>
      </w:r>
      <w:proofErr w:type="gramEnd"/>
      <w:r>
        <w:rPr>
          <w:rFonts w:ascii="Arial" w:eastAsia="Arial" w:hAnsi="Arial" w:cs="Arial"/>
          <w:sz w:val="24"/>
          <w:szCs w:val="24"/>
        </w:rPr>
        <w:t xml:space="preserve"> modo de organización particular donde se llevan a cabo prácticas de enseñanza que se configuran a partir de la territorialidad. El trabajo pretende aportar al conocimiento del sistema educativo fueguino a través del análisis de la categoría nativa “los lugares” y su relación con las prácticas de enseñanza.</w:t>
      </w:r>
    </w:p>
    <w:p w14:paraId="092CC11E" w14:textId="77777777" w:rsidR="00401820" w:rsidRDefault="00000000">
      <w:pPr>
        <w:spacing w:before="240" w:after="240" w:line="360" w:lineRule="auto"/>
        <w:jc w:val="both"/>
        <w:rPr>
          <w:rFonts w:ascii="Arial" w:eastAsia="Arial" w:hAnsi="Arial" w:cs="Arial"/>
          <w:b/>
          <w:bCs/>
          <w:color w:val="000000"/>
          <w:sz w:val="24"/>
          <w:szCs w:val="24"/>
        </w:rPr>
      </w:pPr>
      <w:r>
        <w:rPr>
          <w:rFonts w:ascii="Arial" w:eastAsia="Arial" w:hAnsi="Arial" w:cs="Arial"/>
          <w:b/>
          <w:bCs/>
          <w:sz w:val="24"/>
          <w:szCs w:val="24"/>
        </w:rPr>
        <w:t>Marco teórico</w:t>
      </w:r>
    </w:p>
    <w:p w14:paraId="14F9530C" w14:textId="77777777" w:rsidR="00401820" w:rsidRDefault="00000000">
      <w:pPr>
        <w:spacing w:before="240" w:after="240" w:line="360" w:lineRule="auto"/>
        <w:jc w:val="both"/>
        <w:rPr>
          <w:rFonts w:ascii="Arial" w:eastAsia="Arial" w:hAnsi="Arial" w:cs="Arial"/>
          <w:sz w:val="24"/>
          <w:szCs w:val="24"/>
        </w:rPr>
      </w:pPr>
      <w:r>
        <w:rPr>
          <w:rFonts w:ascii="Arial" w:eastAsia="Arial" w:hAnsi="Arial" w:cs="Arial"/>
          <w:sz w:val="24"/>
          <w:szCs w:val="24"/>
        </w:rPr>
        <w:t xml:space="preserve">Como marco conceptual retomamos discusiones acerca de territorio, territorio-escuela, nueva ruralidad y prácticas de enseñanza.  Entendemos que “el territorio es siempre, y concomitantemente, apropiación (en un sentido más simbólico) y dominio (en un enfoque más concreto, político-económico) de un espacio socialmente dividido (y no simplemente construido)” (Haesbaert y </w:t>
      </w:r>
      <w:proofErr w:type="spellStart"/>
      <w:r>
        <w:rPr>
          <w:rFonts w:ascii="Arial" w:eastAsia="Arial" w:hAnsi="Arial" w:cs="Arial"/>
          <w:sz w:val="24"/>
          <w:szCs w:val="24"/>
        </w:rPr>
        <w:t>Limonad</w:t>
      </w:r>
      <w:proofErr w:type="spellEnd"/>
      <w:r>
        <w:rPr>
          <w:rFonts w:ascii="Arial" w:eastAsia="Arial" w:hAnsi="Arial" w:cs="Arial"/>
          <w:sz w:val="24"/>
          <w:szCs w:val="24"/>
        </w:rPr>
        <w:t xml:space="preserve">, 2007, p. 4).  </w:t>
      </w:r>
      <w:proofErr w:type="gramStart"/>
      <w:r>
        <w:rPr>
          <w:rFonts w:ascii="Arial" w:eastAsia="Arial" w:hAnsi="Arial" w:cs="Arial"/>
          <w:sz w:val="24"/>
          <w:szCs w:val="24"/>
        </w:rPr>
        <w:t>Además,  se</w:t>
      </w:r>
      <w:proofErr w:type="gramEnd"/>
      <w:r>
        <w:rPr>
          <w:rFonts w:ascii="Arial" w:eastAsia="Arial" w:hAnsi="Arial" w:cs="Arial"/>
          <w:sz w:val="24"/>
          <w:szCs w:val="24"/>
        </w:rPr>
        <w:t xml:space="preserve"> </w:t>
      </w:r>
      <w:proofErr w:type="gramStart"/>
      <w:r>
        <w:rPr>
          <w:rFonts w:ascii="Arial" w:eastAsia="Arial" w:hAnsi="Arial" w:cs="Arial"/>
          <w:sz w:val="24"/>
          <w:szCs w:val="24"/>
        </w:rPr>
        <w:t>constituye  a</w:t>
      </w:r>
      <w:proofErr w:type="gramEnd"/>
      <w:r>
        <w:rPr>
          <w:rFonts w:ascii="Arial" w:eastAsia="Arial" w:hAnsi="Arial" w:cs="Arial"/>
          <w:sz w:val="24"/>
          <w:szCs w:val="24"/>
        </w:rPr>
        <w:t xml:space="preserve">  través de grupos sociales que ponen en juego sus identidades en las interacciones vinculares (</w:t>
      </w:r>
      <w:proofErr w:type="spellStart"/>
      <w:r>
        <w:rPr>
          <w:rFonts w:ascii="Arial" w:eastAsia="Arial" w:hAnsi="Arial" w:cs="Arial"/>
          <w:sz w:val="24"/>
          <w:szCs w:val="24"/>
        </w:rPr>
        <w:t>Plencovich</w:t>
      </w:r>
      <w:proofErr w:type="spellEnd"/>
      <w:r>
        <w:rPr>
          <w:rFonts w:ascii="Arial" w:eastAsia="Arial" w:hAnsi="Arial" w:cs="Arial"/>
          <w:sz w:val="24"/>
          <w:szCs w:val="24"/>
        </w:rPr>
        <w:t xml:space="preserve">, Constantini y Bocchicchio, 2009). Por otro lado, en relación a la ruralidad, Castro y </w:t>
      </w:r>
      <w:proofErr w:type="spellStart"/>
      <w:r>
        <w:rPr>
          <w:rFonts w:ascii="Arial" w:eastAsia="Arial" w:hAnsi="Arial" w:cs="Arial"/>
          <w:sz w:val="24"/>
          <w:szCs w:val="24"/>
        </w:rPr>
        <w:t>Reboratti</w:t>
      </w:r>
      <w:proofErr w:type="spellEnd"/>
      <w:r>
        <w:rPr>
          <w:rFonts w:ascii="Arial" w:eastAsia="Arial" w:hAnsi="Arial" w:cs="Arial"/>
          <w:sz w:val="24"/>
          <w:szCs w:val="24"/>
        </w:rPr>
        <w:t xml:space="preserve"> (2007) expresan la necesidad de correrse de la definición demográfica (poblados de menos de 2000 habitantes), ya que profundiza la dicotomía respecto a la urbano, en la que subyace una relación de poder donde lo rural es inferior, menos desarrollado, subsidiario y por lo tanto </w:t>
      </w:r>
      <w:proofErr w:type="spellStart"/>
      <w:r>
        <w:rPr>
          <w:rFonts w:ascii="Arial" w:eastAsia="Arial" w:hAnsi="Arial" w:cs="Arial"/>
          <w:sz w:val="24"/>
          <w:szCs w:val="24"/>
        </w:rPr>
        <w:t>subalternizado</w:t>
      </w:r>
      <w:proofErr w:type="spellEnd"/>
      <w:r>
        <w:rPr>
          <w:rFonts w:ascii="Arial" w:eastAsia="Arial" w:hAnsi="Arial" w:cs="Arial"/>
          <w:sz w:val="24"/>
          <w:szCs w:val="24"/>
        </w:rPr>
        <w:t xml:space="preserve"> (</w:t>
      </w:r>
      <w:proofErr w:type="spellStart"/>
      <w:r>
        <w:rPr>
          <w:rFonts w:ascii="Arial" w:eastAsia="Arial" w:hAnsi="Arial" w:cs="Arial"/>
          <w:sz w:val="24"/>
          <w:szCs w:val="24"/>
        </w:rPr>
        <w:t>Zattera</w:t>
      </w:r>
      <w:proofErr w:type="spellEnd"/>
      <w:r>
        <w:rPr>
          <w:rFonts w:ascii="Arial" w:eastAsia="Arial" w:hAnsi="Arial" w:cs="Arial"/>
          <w:sz w:val="24"/>
          <w:szCs w:val="24"/>
        </w:rPr>
        <w:t xml:space="preserve">, 2015; Ríos, 2023; Castro y Reboratti, 2007; Romero, 2020; Gulino, 2024). Además, para comprender lo que sucede en las poblaciones rurales, nos basamos en la categoría de “nueva ruralidad” (Echeverri Perico y Ribero, 2002; Burneo, 2019; Manzanal, 2006; </w:t>
      </w:r>
      <w:proofErr w:type="spellStart"/>
      <w:r>
        <w:rPr>
          <w:rFonts w:ascii="Arial" w:eastAsia="Arial" w:hAnsi="Arial" w:cs="Arial"/>
          <w:sz w:val="24"/>
          <w:szCs w:val="24"/>
        </w:rPr>
        <w:t>Zattera</w:t>
      </w:r>
      <w:proofErr w:type="spellEnd"/>
      <w:r>
        <w:rPr>
          <w:rFonts w:ascii="Arial" w:eastAsia="Arial" w:hAnsi="Arial" w:cs="Arial"/>
          <w:sz w:val="24"/>
          <w:szCs w:val="24"/>
        </w:rPr>
        <w:t>, 2015</w:t>
      </w:r>
      <w:proofErr w:type="gramStart"/>
      <w:r>
        <w:rPr>
          <w:rFonts w:ascii="Arial" w:eastAsia="Arial" w:hAnsi="Arial" w:cs="Arial"/>
          <w:sz w:val="24"/>
          <w:szCs w:val="24"/>
        </w:rPr>
        <w:t>)  lo</w:t>
      </w:r>
      <w:proofErr w:type="gramEnd"/>
      <w:r>
        <w:rPr>
          <w:rFonts w:ascii="Arial" w:eastAsia="Arial" w:hAnsi="Arial" w:cs="Arial"/>
          <w:sz w:val="24"/>
          <w:szCs w:val="24"/>
        </w:rPr>
        <w:t xml:space="preserve"> que permite </w:t>
      </w:r>
      <w:r>
        <w:rPr>
          <w:rFonts w:ascii="Arial" w:eastAsia="Arial" w:hAnsi="Arial" w:cs="Arial"/>
          <w:sz w:val="24"/>
          <w:szCs w:val="24"/>
        </w:rPr>
        <w:lastRenderedPageBreak/>
        <w:t xml:space="preserve">tener en cuenta la heterogeneidad de cada territorio, en los cuales existen familias </w:t>
      </w:r>
      <w:proofErr w:type="spellStart"/>
      <w:r>
        <w:rPr>
          <w:rFonts w:ascii="Arial" w:eastAsia="Arial" w:hAnsi="Arial" w:cs="Arial"/>
          <w:sz w:val="24"/>
          <w:szCs w:val="24"/>
        </w:rPr>
        <w:t>pluriactivas</w:t>
      </w:r>
      <w:proofErr w:type="spellEnd"/>
      <w:r>
        <w:rPr>
          <w:rFonts w:ascii="Arial" w:eastAsia="Arial" w:hAnsi="Arial" w:cs="Arial"/>
          <w:sz w:val="24"/>
          <w:szCs w:val="24"/>
        </w:rPr>
        <w:t xml:space="preserve"> con pluriempleos y donde los vínculos con la ciudad son estrechos y profusos.</w:t>
      </w:r>
    </w:p>
    <w:p w14:paraId="3BF3C136" w14:textId="77777777" w:rsidR="00401820" w:rsidRDefault="00000000">
      <w:pPr>
        <w:spacing w:before="240" w:after="240" w:line="360" w:lineRule="auto"/>
        <w:jc w:val="both"/>
        <w:rPr>
          <w:rFonts w:ascii="Arial" w:eastAsia="Arial" w:hAnsi="Arial" w:cs="Arial"/>
          <w:sz w:val="24"/>
          <w:szCs w:val="24"/>
        </w:rPr>
      </w:pPr>
      <w:r>
        <w:rPr>
          <w:rFonts w:ascii="Arial" w:eastAsia="Arial" w:hAnsi="Arial" w:cs="Arial"/>
          <w:sz w:val="24"/>
          <w:szCs w:val="24"/>
        </w:rPr>
        <w:t xml:space="preserve">En esta trama, comprendemos a la escuela como un territorio que </w:t>
      </w:r>
      <w:proofErr w:type="gramStart"/>
      <w:r>
        <w:rPr>
          <w:rFonts w:ascii="Arial" w:eastAsia="Arial" w:hAnsi="Arial" w:cs="Arial"/>
          <w:sz w:val="24"/>
          <w:szCs w:val="24"/>
        </w:rPr>
        <w:t>implica  materialidad</w:t>
      </w:r>
      <w:proofErr w:type="gramEnd"/>
      <w:r>
        <w:rPr>
          <w:rFonts w:ascii="Arial" w:eastAsia="Arial" w:hAnsi="Arial" w:cs="Arial"/>
          <w:sz w:val="24"/>
          <w:szCs w:val="24"/>
        </w:rPr>
        <w:t xml:space="preserve">, pero </w:t>
      </w:r>
      <w:proofErr w:type="gramStart"/>
      <w:r>
        <w:rPr>
          <w:rFonts w:ascii="Arial" w:eastAsia="Arial" w:hAnsi="Arial" w:cs="Arial"/>
          <w:sz w:val="24"/>
          <w:szCs w:val="24"/>
        </w:rPr>
        <w:t>que</w:t>
      </w:r>
      <w:proofErr w:type="gramEnd"/>
      <w:r>
        <w:rPr>
          <w:rFonts w:ascii="Arial" w:eastAsia="Arial" w:hAnsi="Arial" w:cs="Arial"/>
          <w:sz w:val="24"/>
          <w:szCs w:val="24"/>
        </w:rPr>
        <w:t xml:space="preserve"> a su vez, la espacialidad escolar parecería prolongarse y tomar diversas formas a través de los vínculos sociales. Entre las relaciones sociales que allí suceden y que hacen a esta escuela-territorio, vamos a analizar </w:t>
      </w:r>
      <w:proofErr w:type="gramStart"/>
      <w:r>
        <w:rPr>
          <w:rFonts w:ascii="Arial" w:eastAsia="Arial" w:hAnsi="Arial" w:cs="Arial"/>
          <w:sz w:val="24"/>
          <w:szCs w:val="24"/>
        </w:rPr>
        <w:t>las  prácticas</w:t>
      </w:r>
      <w:proofErr w:type="gramEnd"/>
      <w:r>
        <w:rPr>
          <w:rFonts w:ascii="Arial" w:eastAsia="Arial" w:hAnsi="Arial" w:cs="Arial"/>
          <w:sz w:val="24"/>
          <w:szCs w:val="24"/>
        </w:rPr>
        <w:t xml:space="preserve"> de enseñanza, en relación con la gestión curricular, ya que </w:t>
      </w:r>
      <w:proofErr w:type="spellStart"/>
      <w:r>
        <w:rPr>
          <w:rFonts w:ascii="Arial" w:eastAsia="Arial" w:hAnsi="Arial" w:cs="Arial"/>
          <w:sz w:val="24"/>
          <w:szCs w:val="24"/>
        </w:rPr>
        <w:t>lxs</w:t>
      </w:r>
      <w:proofErr w:type="spellEnd"/>
      <w:r>
        <w:rPr>
          <w:rFonts w:ascii="Arial" w:eastAsia="Arial" w:hAnsi="Arial" w:cs="Arial"/>
          <w:sz w:val="24"/>
          <w:szCs w:val="24"/>
        </w:rPr>
        <w:t xml:space="preserve"> docentes transforman a los textos curriculares, en función a las necesidades de </w:t>
      </w:r>
      <w:proofErr w:type="spellStart"/>
      <w:r>
        <w:rPr>
          <w:rFonts w:ascii="Arial" w:eastAsia="Arial" w:hAnsi="Arial" w:cs="Arial"/>
          <w:sz w:val="24"/>
          <w:szCs w:val="24"/>
        </w:rPr>
        <w:t>lxs</w:t>
      </w:r>
      <w:proofErr w:type="spellEnd"/>
      <w:r>
        <w:rPr>
          <w:rFonts w:ascii="Arial" w:eastAsia="Arial" w:hAnsi="Arial" w:cs="Arial"/>
          <w:sz w:val="24"/>
          <w:szCs w:val="24"/>
        </w:rPr>
        <w:t xml:space="preserve"> estudiantes y en relación estrecha con contexto territorial (Finocchio, 2012). En este sentido, analizamos dichas prácticas como parte de las configuraciones territoriales. Cabe aclarar que estas prácticas de enseñanza incluyen tanto el </w:t>
      </w:r>
      <w:proofErr w:type="spellStart"/>
      <w:r>
        <w:rPr>
          <w:rFonts w:ascii="Arial" w:eastAsia="Arial" w:hAnsi="Arial" w:cs="Arial"/>
          <w:sz w:val="24"/>
          <w:szCs w:val="24"/>
        </w:rPr>
        <w:t>plurigrado</w:t>
      </w:r>
      <w:proofErr w:type="spellEnd"/>
      <w:r>
        <w:rPr>
          <w:rFonts w:ascii="Arial" w:eastAsia="Arial" w:hAnsi="Arial" w:cs="Arial"/>
          <w:sz w:val="24"/>
          <w:szCs w:val="24"/>
        </w:rPr>
        <w:t>, que implica “la conformación de grupos de alumnos matriculados en diferentes grados de la escolaridad que trabajan al mismo tiempo y en un mismo lugar, a cargo de un único docente” (</w:t>
      </w:r>
      <w:proofErr w:type="spellStart"/>
      <w:r>
        <w:rPr>
          <w:rFonts w:ascii="Arial" w:eastAsia="Arial" w:hAnsi="Arial" w:cs="Arial"/>
          <w:sz w:val="24"/>
          <w:szCs w:val="24"/>
        </w:rPr>
        <w:t>Zattera</w:t>
      </w:r>
      <w:proofErr w:type="spellEnd"/>
      <w:r>
        <w:rPr>
          <w:rFonts w:ascii="Arial" w:eastAsia="Arial" w:hAnsi="Arial" w:cs="Arial"/>
          <w:sz w:val="24"/>
          <w:szCs w:val="24"/>
        </w:rPr>
        <w:t xml:space="preserve">, 2015, p. 21), como así también, la organización de la clase para </w:t>
      </w:r>
      <w:proofErr w:type="spellStart"/>
      <w:r>
        <w:rPr>
          <w:rFonts w:ascii="Arial" w:eastAsia="Arial" w:hAnsi="Arial" w:cs="Arial"/>
          <w:sz w:val="24"/>
          <w:szCs w:val="24"/>
        </w:rPr>
        <w:t>unx</w:t>
      </w:r>
      <w:proofErr w:type="spellEnd"/>
      <w:r>
        <w:rPr>
          <w:rFonts w:ascii="Arial" w:eastAsia="Arial" w:hAnsi="Arial" w:cs="Arial"/>
          <w:sz w:val="24"/>
          <w:szCs w:val="24"/>
        </w:rPr>
        <w:t xml:space="preserve"> </w:t>
      </w:r>
      <w:proofErr w:type="spellStart"/>
      <w:r>
        <w:rPr>
          <w:rFonts w:ascii="Arial" w:eastAsia="Arial" w:hAnsi="Arial" w:cs="Arial"/>
          <w:sz w:val="24"/>
          <w:szCs w:val="24"/>
        </w:rPr>
        <w:t>solx</w:t>
      </w:r>
      <w:proofErr w:type="spellEnd"/>
      <w:r>
        <w:rPr>
          <w:rFonts w:ascii="Arial" w:eastAsia="Arial" w:hAnsi="Arial" w:cs="Arial"/>
          <w:sz w:val="24"/>
          <w:szCs w:val="24"/>
        </w:rPr>
        <w:t xml:space="preserve"> estudiante. </w:t>
      </w:r>
    </w:p>
    <w:p w14:paraId="114803E5" w14:textId="77777777" w:rsidR="00401820" w:rsidRDefault="00000000">
      <w:pPr>
        <w:pStyle w:val="Heading2"/>
        <w:keepNext w:val="0"/>
        <w:keepLines w:val="0"/>
        <w:spacing w:before="360" w:after="80" w:line="360" w:lineRule="auto"/>
        <w:jc w:val="both"/>
        <w:rPr>
          <w:rFonts w:ascii="Arial" w:eastAsia="Arial" w:hAnsi="Arial" w:cs="Arial"/>
          <w:color w:val="000000"/>
          <w:sz w:val="24"/>
          <w:szCs w:val="24"/>
        </w:rPr>
      </w:pPr>
      <w:bookmarkStart w:id="0" w:name="_heading=h.cqs64dwpu82q" w:colFirst="0" w:colLast="0"/>
      <w:bookmarkEnd w:id="0"/>
      <w:r>
        <w:rPr>
          <w:rFonts w:ascii="Arial" w:eastAsia="Arial" w:hAnsi="Arial" w:cs="Arial"/>
          <w:color w:val="000000"/>
          <w:sz w:val="24"/>
          <w:szCs w:val="24"/>
        </w:rPr>
        <w:t>Metodología</w:t>
      </w:r>
    </w:p>
    <w:p w14:paraId="12CA226A" w14:textId="77777777" w:rsidR="00401820" w:rsidRDefault="00000000">
      <w:pPr>
        <w:spacing w:before="240" w:after="240" w:line="360" w:lineRule="auto"/>
        <w:jc w:val="both"/>
        <w:rPr>
          <w:rFonts w:ascii="Arial" w:eastAsia="Arial" w:hAnsi="Arial" w:cs="Arial"/>
          <w:sz w:val="24"/>
          <w:szCs w:val="24"/>
        </w:rPr>
      </w:pPr>
      <w:r>
        <w:rPr>
          <w:rFonts w:ascii="Arial" w:eastAsia="Arial" w:hAnsi="Arial" w:cs="Arial"/>
          <w:sz w:val="24"/>
          <w:szCs w:val="24"/>
        </w:rPr>
        <w:t xml:space="preserve">Este estudio cualitativo se inscribe en el enfoque de la etnografía de la educación (Rockwell, 2009) que busca discernir los “qué” encontrando cortes significativos en el continuo de la experiencia vivida (Erickson, 1993). Estudiamos tres instituciones </w:t>
      </w:r>
      <w:proofErr w:type="gramStart"/>
      <w:r>
        <w:rPr>
          <w:rFonts w:ascii="Arial" w:eastAsia="Arial" w:hAnsi="Arial" w:cs="Arial"/>
          <w:sz w:val="24"/>
          <w:szCs w:val="24"/>
        </w:rPr>
        <w:t>que</w:t>
      </w:r>
      <w:proofErr w:type="gramEnd"/>
      <w:r>
        <w:rPr>
          <w:rFonts w:ascii="Arial" w:eastAsia="Arial" w:hAnsi="Arial" w:cs="Arial"/>
          <w:sz w:val="24"/>
          <w:szCs w:val="24"/>
        </w:rPr>
        <w:t xml:space="preserve"> al momento de la investigación, el entonces Ministerio de Educación, Cultura, Ciencia y Tecnología, comprendía como rurales en la zona norte de la provincia: La Escuela </w:t>
      </w:r>
      <w:proofErr w:type="spellStart"/>
      <w:r>
        <w:rPr>
          <w:rFonts w:ascii="Arial" w:eastAsia="Arial" w:hAnsi="Arial" w:cs="Arial"/>
          <w:sz w:val="24"/>
          <w:szCs w:val="24"/>
        </w:rPr>
        <w:t>N°</w:t>
      </w:r>
      <w:proofErr w:type="spellEnd"/>
      <w:r>
        <w:rPr>
          <w:rFonts w:ascii="Arial" w:eastAsia="Arial" w:hAnsi="Arial" w:cs="Arial"/>
          <w:sz w:val="24"/>
          <w:szCs w:val="24"/>
        </w:rPr>
        <w:t xml:space="preserve"> 17, en el paraje San Sebastián a 90 kilómetros de la ciudad de Río Grande. Esta escuela tiene la doble adscripción de ser rural y de frontera, lo implica tanto normativa como territorialmente una especial configuración. La Escuela </w:t>
      </w:r>
      <w:proofErr w:type="spellStart"/>
      <w:r>
        <w:rPr>
          <w:rFonts w:ascii="Arial" w:eastAsia="Arial" w:hAnsi="Arial" w:cs="Arial"/>
          <w:sz w:val="24"/>
          <w:szCs w:val="24"/>
        </w:rPr>
        <w:t>N°</w:t>
      </w:r>
      <w:proofErr w:type="spellEnd"/>
      <w:r>
        <w:rPr>
          <w:rFonts w:ascii="Arial" w:eastAsia="Arial" w:hAnsi="Arial" w:cs="Arial"/>
          <w:sz w:val="24"/>
          <w:szCs w:val="24"/>
        </w:rPr>
        <w:t xml:space="preserve"> 11 emplazada en la Estancia Sara y la Escuela </w:t>
      </w:r>
      <w:proofErr w:type="spellStart"/>
      <w:r>
        <w:rPr>
          <w:rFonts w:ascii="Arial" w:eastAsia="Arial" w:hAnsi="Arial" w:cs="Arial"/>
          <w:sz w:val="24"/>
          <w:szCs w:val="24"/>
        </w:rPr>
        <w:t>N°</w:t>
      </w:r>
      <w:proofErr w:type="spellEnd"/>
      <w:r>
        <w:rPr>
          <w:rFonts w:ascii="Arial" w:eastAsia="Arial" w:hAnsi="Arial" w:cs="Arial"/>
          <w:sz w:val="24"/>
          <w:szCs w:val="24"/>
        </w:rPr>
        <w:t xml:space="preserve"> 37 (Patricio O´Byrne) que funciona en el casco de la Estancia Cullen, a 50km y 120km de la ciudad de Río Grande respectivamente. Cabe destacar que la matriz productiva se encuentra emplazada en territorios donde predomina la producción extensiva de ganado ovino (</w:t>
      </w:r>
      <w:proofErr w:type="spellStart"/>
      <w:r>
        <w:rPr>
          <w:rFonts w:ascii="Arial" w:eastAsia="Arial" w:hAnsi="Arial" w:cs="Arial"/>
          <w:sz w:val="24"/>
          <w:szCs w:val="24"/>
        </w:rPr>
        <w:t>Livraghi</w:t>
      </w:r>
      <w:proofErr w:type="spellEnd"/>
      <w:r>
        <w:rPr>
          <w:rFonts w:ascii="Arial" w:eastAsia="Arial" w:hAnsi="Arial" w:cs="Arial"/>
          <w:sz w:val="24"/>
          <w:szCs w:val="24"/>
        </w:rPr>
        <w:t xml:space="preserve">, 2011) y la extracción de petróleo y gas. </w:t>
      </w:r>
    </w:p>
    <w:p w14:paraId="185FE353" w14:textId="31A09948" w:rsidR="00424057" w:rsidRDefault="00000000">
      <w:pPr>
        <w:spacing w:before="240" w:after="240" w:line="360" w:lineRule="auto"/>
        <w:jc w:val="both"/>
        <w:rPr>
          <w:rFonts w:ascii="Arial" w:eastAsia="Arial" w:hAnsi="Arial" w:cs="Arial"/>
          <w:sz w:val="24"/>
          <w:szCs w:val="24"/>
        </w:rPr>
      </w:pPr>
      <w:r>
        <w:rPr>
          <w:rFonts w:ascii="Arial" w:eastAsia="Arial" w:hAnsi="Arial" w:cs="Arial"/>
          <w:sz w:val="24"/>
          <w:szCs w:val="24"/>
        </w:rPr>
        <w:t xml:space="preserve">El corte temporal, 2023, está ligado al momento de la realización del trabajo de campo, lo que implicó recuperar las configuraciones vinculares que sucedían en las prácticas de </w:t>
      </w:r>
      <w:r>
        <w:rPr>
          <w:rFonts w:ascii="Arial" w:eastAsia="Arial" w:hAnsi="Arial" w:cs="Arial"/>
          <w:sz w:val="24"/>
          <w:szCs w:val="24"/>
        </w:rPr>
        <w:lastRenderedPageBreak/>
        <w:t>enseñanza de los diversos territorios-escuelas. Las principales técnicas de indagación fueron la observación y las entrevistas en profundidad. Para el análisis tomamos las categorías nativas: los lugares y las prácticas de enseñanza.</w:t>
      </w:r>
    </w:p>
    <w:p w14:paraId="0D47BF4C" w14:textId="77777777" w:rsidR="00401820" w:rsidRDefault="00000000">
      <w:pPr>
        <w:pStyle w:val="Heading2"/>
        <w:keepNext w:val="0"/>
        <w:keepLines w:val="0"/>
        <w:spacing w:before="360" w:after="80" w:line="360" w:lineRule="auto"/>
        <w:jc w:val="both"/>
        <w:rPr>
          <w:rFonts w:ascii="Arial" w:eastAsia="Arial" w:hAnsi="Arial" w:cs="Arial"/>
          <w:color w:val="000000"/>
          <w:sz w:val="24"/>
          <w:szCs w:val="24"/>
        </w:rPr>
      </w:pPr>
      <w:bookmarkStart w:id="1" w:name="_heading=h.7l3vt5se8ukh" w:colFirst="0" w:colLast="0"/>
      <w:bookmarkEnd w:id="1"/>
      <w:r>
        <w:rPr>
          <w:rFonts w:ascii="Arial" w:eastAsia="Arial" w:hAnsi="Arial" w:cs="Arial"/>
          <w:color w:val="000000"/>
          <w:sz w:val="24"/>
          <w:szCs w:val="24"/>
        </w:rPr>
        <w:t>Resultados y discusión: Los lugares y las prácticas de enseñanza</w:t>
      </w:r>
    </w:p>
    <w:p w14:paraId="14829044" w14:textId="77777777" w:rsidR="00401820" w:rsidRDefault="00000000">
      <w:pPr>
        <w:spacing w:before="240" w:after="240" w:line="360" w:lineRule="auto"/>
        <w:jc w:val="both"/>
        <w:rPr>
          <w:rFonts w:ascii="Arial" w:eastAsia="Arial" w:hAnsi="Arial" w:cs="Arial"/>
          <w:sz w:val="24"/>
          <w:szCs w:val="24"/>
        </w:rPr>
      </w:pPr>
      <w:r>
        <w:rPr>
          <w:rFonts w:ascii="Arial" w:eastAsia="Arial" w:hAnsi="Arial" w:cs="Arial"/>
          <w:sz w:val="24"/>
          <w:szCs w:val="24"/>
        </w:rPr>
        <w:t xml:space="preserve">Una de las categorías nativas que analizamos fue la de “los lugares”. </w:t>
      </w:r>
      <w:proofErr w:type="spellStart"/>
      <w:r>
        <w:rPr>
          <w:rFonts w:ascii="Arial" w:eastAsia="Arial" w:hAnsi="Arial" w:cs="Arial"/>
          <w:sz w:val="24"/>
          <w:szCs w:val="24"/>
        </w:rPr>
        <w:t>Lxs</w:t>
      </w:r>
      <w:proofErr w:type="spellEnd"/>
      <w:r>
        <w:rPr>
          <w:rFonts w:ascii="Arial" w:eastAsia="Arial" w:hAnsi="Arial" w:cs="Arial"/>
          <w:sz w:val="24"/>
          <w:szCs w:val="24"/>
        </w:rPr>
        <w:t xml:space="preserve"> </w:t>
      </w:r>
      <w:proofErr w:type="spellStart"/>
      <w:r>
        <w:rPr>
          <w:rFonts w:ascii="Arial" w:eastAsia="Arial" w:hAnsi="Arial" w:cs="Arial"/>
          <w:sz w:val="24"/>
          <w:szCs w:val="24"/>
        </w:rPr>
        <w:t>entrevistadxs</w:t>
      </w:r>
      <w:proofErr w:type="spellEnd"/>
      <w:r>
        <w:rPr>
          <w:rFonts w:ascii="Arial" w:eastAsia="Arial" w:hAnsi="Arial" w:cs="Arial"/>
          <w:sz w:val="24"/>
          <w:szCs w:val="24"/>
        </w:rPr>
        <w:t xml:space="preserve"> designan espacios de acceso, circulación, lugares propios del habitar y zonas peligrosas. Éstos son tenidos en cuenta por </w:t>
      </w:r>
      <w:proofErr w:type="spellStart"/>
      <w:r>
        <w:rPr>
          <w:rFonts w:ascii="Arial" w:eastAsia="Arial" w:hAnsi="Arial" w:cs="Arial"/>
          <w:sz w:val="24"/>
          <w:szCs w:val="24"/>
        </w:rPr>
        <w:t>lxs</w:t>
      </w:r>
      <w:proofErr w:type="spellEnd"/>
      <w:r>
        <w:rPr>
          <w:rFonts w:ascii="Arial" w:eastAsia="Arial" w:hAnsi="Arial" w:cs="Arial"/>
          <w:sz w:val="24"/>
          <w:szCs w:val="24"/>
        </w:rPr>
        <w:t xml:space="preserve"> docentes para la planificación de las prácticas de enseñanza.</w:t>
      </w:r>
    </w:p>
    <w:p w14:paraId="6FE54962" w14:textId="77777777" w:rsidR="00401820" w:rsidRDefault="00000000">
      <w:pPr>
        <w:spacing w:before="240" w:after="240" w:line="360" w:lineRule="auto"/>
        <w:jc w:val="both"/>
        <w:rPr>
          <w:rFonts w:ascii="Arial" w:eastAsia="Arial" w:hAnsi="Arial" w:cs="Arial"/>
          <w:sz w:val="24"/>
          <w:szCs w:val="24"/>
        </w:rPr>
      </w:pPr>
      <w:r>
        <w:rPr>
          <w:rFonts w:ascii="Arial" w:eastAsia="Arial" w:hAnsi="Arial" w:cs="Arial"/>
          <w:sz w:val="24"/>
          <w:szCs w:val="24"/>
        </w:rPr>
        <w:t xml:space="preserve">Uno de los lugares destacados en las entrevistas fue la ruta. Esta se constituye como parte de una territorialidad escolar. Al pasar varias horas en el vehículo, </w:t>
      </w:r>
      <w:proofErr w:type="spellStart"/>
      <w:r>
        <w:rPr>
          <w:rFonts w:ascii="Arial" w:eastAsia="Arial" w:hAnsi="Arial" w:cs="Arial"/>
          <w:sz w:val="24"/>
          <w:szCs w:val="24"/>
        </w:rPr>
        <w:t>lxs</w:t>
      </w:r>
      <w:proofErr w:type="spellEnd"/>
      <w:r>
        <w:rPr>
          <w:rFonts w:ascii="Arial" w:eastAsia="Arial" w:hAnsi="Arial" w:cs="Arial"/>
          <w:sz w:val="24"/>
          <w:szCs w:val="24"/>
        </w:rPr>
        <w:t xml:space="preserve"> docentes utilizan este tiempo para planificar y resolver asuntos relacionados a la gestión de la escuela. La directora de la escuela </w:t>
      </w:r>
      <w:proofErr w:type="spellStart"/>
      <w:r>
        <w:rPr>
          <w:rFonts w:ascii="Arial" w:eastAsia="Arial" w:hAnsi="Arial" w:cs="Arial"/>
          <w:sz w:val="24"/>
          <w:szCs w:val="24"/>
        </w:rPr>
        <w:t>N°</w:t>
      </w:r>
      <w:proofErr w:type="spellEnd"/>
      <w:r>
        <w:rPr>
          <w:rFonts w:ascii="Arial" w:eastAsia="Arial" w:hAnsi="Arial" w:cs="Arial"/>
          <w:sz w:val="24"/>
          <w:szCs w:val="24"/>
        </w:rPr>
        <w:t xml:space="preserve"> 17 explica: “Tenemos una hora de ida y vuelta y hablamos de todos los temas, planificamos, resolvemos cosas de la escuela”. Este tiempo es visto como un continuo del espacio escolar donde la </w:t>
      </w:r>
      <w:proofErr w:type="spellStart"/>
      <w:r>
        <w:rPr>
          <w:rFonts w:ascii="Arial" w:eastAsia="Arial" w:hAnsi="Arial" w:cs="Arial"/>
          <w:sz w:val="24"/>
          <w:szCs w:val="24"/>
        </w:rPr>
        <w:t>comunización</w:t>
      </w:r>
      <w:proofErr w:type="spellEnd"/>
      <w:r>
        <w:rPr>
          <w:rFonts w:ascii="Arial" w:eastAsia="Arial" w:hAnsi="Arial" w:cs="Arial"/>
          <w:sz w:val="24"/>
          <w:szCs w:val="24"/>
        </w:rPr>
        <w:t xml:space="preserve"> (Larrosa, 2019) de los bienes, en este caso el vehículo por parte de la directora, se constituye en condición de posibilidad para las prácticas de enseñanza que se planifican y las prácticas de gestión que se llevan a cabo.</w:t>
      </w:r>
    </w:p>
    <w:p w14:paraId="4A3D15C9" w14:textId="77777777" w:rsidR="00401820" w:rsidRDefault="00000000">
      <w:pPr>
        <w:spacing w:before="240" w:after="240" w:line="360" w:lineRule="auto"/>
        <w:jc w:val="both"/>
        <w:rPr>
          <w:rFonts w:ascii="Arial" w:eastAsia="Arial" w:hAnsi="Arial" w:cs="Arial"/>
          <w:sz w:val="24"/>
          <w:szCs w:val="24"/>
        </w:rPr>
      </w:pPr>
      <w:r>
        <w:rPr>
          <w:rFonts w:ascii="Arial" w:eastAsia="Arial" w:hAnsi="Arial" w:cs="Arial"/>
          <w:sz w:val="24"/>
          <w:szCs w:val="24"/>
        </w:rPr>
        <w:t xml:space="preserve">Otra extensión o continuo territorial de las escuelas rurales en la ciudad, se configuran en las casas de </w:t>
      </w:r>
      <w:proofErr w:type="spellStart"/>
      <w:r>
        <w:rPr>
          <w:rFonts w:ascii="Arial" w:eastAsia="Arial" w:hAnsi="Arial" w:cs="Arial"/>
          <w:sz w:val="24"/>
          <w:szCs w:val="24"/>
        </w:rPr>
        <w:t>lxs</w:t>
      </w:r>
      <w:proofErr w:type="spellEnd"/>
      <w:r>
        <w:rPr>
          <w:rFonts w:ascii="Arial" w:eastAsia="Arial" w:hAnsi="Arial" w:cs="Arial"/>
          <w:sz w:val="24"/>
          <w:szCs w:val="24"/>
        </w:rPr>
        <w:t xml:space="preserve"> docentes, las familias y </w:t>
      </w:r>
      <w:proofErr w:type="spellStart"/>
      <w:r>
        <w:rPr>
          <w:rFonts w:ascii="Arial" w:eastAsia="Arial" w:hAnsi="Arial" w:cs="Arial"/>
          <w:sz w:val="24"/>
          <w:szCs w:val="24"/>
        </w:rPr>
        <w:t>conocidxs</w:t>
      </w:r>
      <w:proofErr w:type="spellEnd"/>
      <w:r>
        <w:rPr>
          <w:rFonts w:ascii="Arial" w:eastAsia="Arial" w:hAnsi="Arial" w:cs="Arial"/>
          <w:sz w:val="24"/>
          <w:szCs w:val="24"/>
        </w:rPr>
        <w:t xml:space="preserve"> que ponen a disposición el espacio para garantizar la continuidad de las prácticas de enseñanza, garantizar el traslado de estudiantes, generar condiciones materiales para realizar actividades. Destacamos una práctica a modo de ejemplo:  en la casa de la directora de la escuela </w:t>
      </w:r>
      <w:proofErr w:type="spellStart"/>
      <w:r>
        <w:rPr>
          <w:rFonts w:ascii="Arial" w:eastAsia="Arial" w:hAnsi="Arial" w:cs="Arial"/>
          <w:sz w:val="24"/>
          <w:szCs w:val="24"/>
        </w:rPr>
        <w:t>N°</w:t>
      </w:r>
      <w:proofErr w:type="spellEnd"/>
      <w:r>
        <w:rPr>
          <w:rFonts w:ascii="Arial" w:eastAsia="Arial" w:hAnsi="Arial" w:cs="Arial"/>
          <w:sz w:val="24"/>
          <w:szCs w:val="24"/>
        </w:rPr>
        <w:t xml:space="preserve"> 11, se juntó la comunidad educativa de la escuela durante algunos momentos de un fin de semana para cocinar y organizar una feria de platos con la finalidad de recaudar fondos para un viaje de estudios (notas de campo septiembre 2023).</w:t>
      </w:r>
    </w:p>
    <w:p w14:paraId="24798A20" w14:textId="77777777" w:rsidR="00401820" w:rsidRDefault="00000000">
      <w:pPr>
        <w:spacing w:before="240" w:after="240" w:line="360" w:lineRule="auto"/>
        <w:jc w:val="both"/>
        <w:rPr>
          <w:rFonts w:ascii="Arial" w:eastAsia="Arial" w:hAnsi="Arial" w:cs="Arial"/>
          <w:sz w:val="24"/>
          <w:szCs w:val="24"/>
        </w:rPr>
      </w:pPr>
      <w:r>
        <w:rPr>
          <w:rFonts w:ascii="Arial" w:eastAsia="Arial" w:hAnsi="Arial" w:cs="Arial"/>
          <w:sz w:val="24"/>
          <w:szCs w:val="24"/>
        </w:rPr>
        <w:t>En estos ejemplos, analizamos que cuando se comunizan los bienes parecerían correrse los límites entre lo público y lo privado, incluso en la idea de hogar, cuyo espacio se entiende como íntimo.</w:t>
      </w:r>
    </w:p>
    <w:p w14:paraId="65B4B9C0" w14:textId="63E8CFBC" w:rsidR="00401820" w:rsidRDefault="00000000">
      <w:pPr>
        <w:spacing w:before="240" w:after="240" w:line="360" w:lineRule="auto"/>
        <w:jc w:val="both"/>
        <w:rPr>
          <w:rFonts w:ascii="Arial" w:eastAsia="Arial" w:hAnsi="Arial" w:cs="Arial"/>
          <w:sz w:val="24"/>
          <w:szCs w:val="24"/>
        </w:rPr>
      </w:pPr>
      <w:r>
        <w:rPr>
          <w:rFonts w:ascii="Arial" w:eastAsia="Arial" w:hAnsi="Arial" w:cs="Arial"/>
          <w:sz w:val="24"/>
          <w:szCs w:val="24"/>
        </w:rPr>
        <w:lastRenderedPageBreak/>
        <w:t xml:space="preserve">Asimismo, en la escuela </w:t>
      </w:r>
      <w:proofErr w:type="spellStart"/>
      <w:r>
        <w:rPr>
          <w:rFonts w:ascii="Arial" w:eastAsia="Arial" w:hAnsi="Arial" w:cs="Arial"/>
          <w:sz w:val="24"/>
          <w:szCs w:val="24"/>
        </w:rPr>
        <w:t>N°</w:t>
      </w:r>
      <w:proofErr w:type="spellEnd"/>
      <w:r>
        <w:rPr>
          <w:rFonts w:ascii="Arial" w:eastAsia="Arial" w:hAnsi="Arial" w:cs="Arial"/>
          <w:sz w:val="24"/>
          <w:szCs w:val="24"/>
        </w:rPr>
        <w:t xml:space="preserve"> 37, </w:t>
      </w:r>
      <w:proofErr w:type="spellStart"/>
      <w:r>
        <w:rPr>
          <w:rFonts w:ascii="Arial" w:eastAsia="Arial" w:hAnsi="Arial" w:cs="Arial"/>
          <w:sz w:val="24"/>
          <w:szCs w:val="24"/>
        </w:rPr>
        <w:t>lxs</w:t>
      </w:r>
      <w:proofErr w:type="spellEnd"/>
      <w:r>
        <w:rPr>
          <w:rFonts w:ascii="Arial" w:eastAsia="Arial" w:hAnsi="Arial" w:cs="Arial"/>
          <w:sz w:val="24"/>
          <w:szCs w:val="24"/>
        </w:rPr>
        <w:t xml:space="preserve"> estudiantes valoran a los cerros de la estancia como espacios de iniciación “si no fuiste al cerrito, entonces no </w:t>
      </w:r>
      <w:proofErr w:type="spellStart"/>
      <w:r>
        <w:rPr>
          <w:rFonts w:ascii="Arial" w:eastAsia="Arial" w:hAnsi="Arial" w:cs="Arial"/>
          <w:sz w:val="24"/>
          <w:szCs w:val="24"/>
        </w:rPr>
        <w:t>sos</w:t>
      </w:r>
      <w:proofErr w:type="spellEnd"/>
      <w:r>
        <w:rPr>
          <w:rFonts w:ascii="Arial" w:eastAsia="Arial" w:hAnsi="Arial" w:cs="Arial"/>
          <w:sz w:val="24"/>
          <w:szCs w:val="24"/>
        </w:rPr>
        <w:t xml:space="preserve"> de acá” (estudiante nivel secundario).</w:t>
      </w:r>
      <w:r w:rsidR="00424057">
        <w:rPr>
          <w:rFonts w:ascii="Arial" w:eastAsia="Arial" w:hAnsi="Arial" w:cs="Arial"/>
          <w:sz w:val="24"/>
          <w:szCs w:val="24"/>
        </w:rPr>
        <w:t xml:space="preserve"> </w:t>
      </w:r>
      <w:proofErr w:type="spellStart"/>
      <w:r>
        <w:rPr>
          <w:rFonts w:ascii="Arial" w:eastAsia="Arial" w:hAnsi="Arial" w:cs="Arial"/>
          <w:sz w:val="24"/>
          <w:szCs w:val="24"/>
        </w:rPr>
        <w:t>Lxs</w:t>
      </w:r>
      <w:proofErr w:type="spellEnd"/>
      <w:r>
        <w:rPr>
          <w:rFonts w:ascii="Arial" w:eastAsia="Arial" w:hAnsi="Arial" w:cs="Arial"/>
          <w:sz w:val="24"/>
          <w:szCs w:val="24"/>
        </w:rPr>
        <w:t xml:space="preserve"> docentes retoman ese “lugar” para planificar sus enseñanzas, contextualizando la propuesta (Finocchio, 2012). Esto se puede pensar al territorio como “el espacio donde se recrea la experiencia colectiva mediante procesos de apropiación” (Sosa Velásquez, 2012, p. 107).</w:t>
      </w:r>
    </w:p>
    <w:p w14:paraId="7DA913C0" w14:textId="7925267C" w:rsidR="00424057" w:rsidRDefault="00000000">
      <w:pPr>
        <w:spacing w:before="240" w:after="240" w:line="360" w:lineRule="auto"/>
        <w:jc w:val="both"/>
        <w:rPr>
          <w:rFonts w:ascii="Arial" w:eastAsia="Arial" w:hAnsi="Arial" w:cs="Arial"/>
          <w:sz w:val="24"/>
          <w:szCs w:val="24"/>
        </w:rPr>
      </w:pPr>
      <w:r>
        <w:rPr>
          <w:rFonts w:ascii="Arial" w:eastAsia="Arial" w:hAnsi="Arial" w:cs="Arial"/>
          <w:sz w:val="24"/>
          <w:szCs w:val="24"/>
        </w:rPr>
        <w:t xml:space="preserve">Por último, otros lugares son entendidos como “lo peligroso”. En la escuela </w:t>
      </w:r>
      <w:proofErr w:type="spellStart"/>
      <w:r>
        <w:rPr>
          <w:rFonts w:ascii="Arial" w:eastAsia="Arial" w:hAnsi="Arial" w:cs="Arial"/>
          <w:sz w:val="24"/>
          <w:szCs w:val="24"/>
        </w:rPr>
        <w:t>N°</w:t>
      </w:r>
      <w:proofErr w:type="spellEnd"/>
      <w:r>
        <w:rPr>
          <w:rFonts w:ascii="Arial" w:eastAsia="Arial" w:hAnsi="Arial" w:cs="Arial"/>
          <w:sz w:val="24"/>
          <w:szCs w:val="24"/>
        </w:rPr>
        <w:t xml:space="preserve"> 17, una de las decisiones que toma la directora en relación a la cercanía de la frontera fue el uso de llaves y puertas cerradas por seguridad durante la jornada escolar. En las otras escuelas emplazadas en las estancias, el peligro se asocia a la llegada de la “comparsa” de esquiladores o con personas externas a la cotidianidad. </w:t>
      </w:r>
      <w:proofErr w:type="spellStart"/>
      <w:r>
        <w:rPr>
          <w:rFonts w:ascii="Arial" w:eastAsia="Arial" w:hAnsi="Arial" w:cs="Arial"/>
          <w:sz w:val="24"/>
          <w:szCs w:val="24"/>
        </w:rPr>
        <w:t>Lxs</w:t>
      </w:r>
      <w:proofErr w:type="spellEnd"/>
      <w:r>
        <w:rPr>
          <w:rFonts w:ascii="Arial" w:eastAsia="Arial" w:hAnsi="Arial" w:cs="Arial"/>
          <w:sz w:val="24"/>
          <w:szCs w:val="24"/>
        </w:rPr>
        <w:t xml:space="preserve"> docentes retoman estos momentos en sus planificaciones, lo que da pistas de que las propuestas pedagógicas se entienden como contextuales, además del cuidado a </w:t>
      </w:r>
      <w:proofErr w:type="spellStart"/>
      <w:r>
        <w:rPr>
          <w:rFonts w:ascii="Arial" w:eastAsia="Arial" w:hAnsi="Arial" w:cs="Arial"/>
          <w:sz w:val="24"/>
          <w:szCs w:val="24"/>
        </w:rPr>
        <w:t>lxs</w:t>
      </w:r>
      <w:proofErr w:type="spellEnd"/>
      <w:r>
        <w:rPr>
          <w:rFonts w:ascii="Arial" w:eastAsia="Arial" w:hAnsi="Arial" w:cs="Arial"/>
          <w:sz w:val="24"/>
          <w:szCs w:val="24"/>
        </w:rPr>
        <w:t xml:space="preserve"> infancias ante lo que acontece en el territorio.</w:t>
      </w:r>
    </w:p>
    <w:p w14:paraId="05087561" w14:textId="5A67A828" w:rsidR="00424057" w:rsidRPr="00424057" w:rsidRDefault="00000000" w:rsidP="00424057">
      <w:pPr>
        <w:pStyle w:val="Heading2"/>
        <w:keepNext w:val="0"/>
        <w:keepLines w:val="0"/>
        <w:spacing w:before="360" w:after="80" w:line="360" w:lineRule="auto"/>
        <w:jc w:val="both"/>
        <w:rPr>
          <w:rFonts w:ascii="Arial" w:eastAsia="Arial" w:hAnsi="Arial" w:cs="Arial"/>
          <w:color w:val="000000"/>
          <w:sz w:val="24"/>
          <w:szCs w:val="24"/>
        </w:rPr>
      </w:pPr>
      <w:bookmarkStart w:id="2" w:name="_heading=h.ymbp3f5td7qr" w:colFirst="0" w:colLast="0"/>
      <w:bookmarkEnd w:id="2"/>
      <w:r>
        <w:rPr>
          <w:rFonts w:ascii="Arial" w:eastAsia="Arial" w:hAnsi="Arial" w:cs="Arial"/>
          <w:color w:val="000000"/>
          <w:sz w:val="24"/>
          <w:szCs w:val="24"/>
        </w:rPr>
        <w:t>Conclusiones</w:t>
      </w:r>
    </w:p>
    <w:p w14:paraId="2E11C3D2" w14:textId="77777777" w:rsidR="00401820" w:rsidRDefault="00000000">
      <w:pPr>
        <w:spacing w:before="240" w:after="240" w:line="360" w:lineRule="auto"/>
        <w:jc w:val="both"/>
        <w:rPr>
          <w:rFonts w:ascii="Arial" w:eastAsia="Arial" w:hAnsi="Arial" w:cs="Arial"/>
          <w:sz w:val="24"/>
          <w:szCs w:val="24"/>
        </w:rPr>
      </w:pPr>
      <w:r>
        <w:rPr>
          <w:rFonts w:ascii="Arial" w:eastAsia="Arial" w:hAnsi="Arial" w:cs="Arial"/>
          <w:sz w:val="24"/>
          <w:szCs w:val="24"/>
        </w:rPr>
        <w:t xml:space="preserve">La categoría nativa “los lugares” nos permitió analizar la configuración de las relaciones territoriales que se establecen en torno a las prácticas de enseñanza de las escuelas rurales. Estos espacios a los que la comunidad le asigna un valor simbólico, propio de la territorialidad, colaboran a contextualizar y organizar las prácticas de enseñanza; por ejemplo, la ruta funciona como un espacio que brinda la posibilidad para la organización de las clases y es visto por </w:t>
      </w:r>
      <w:proofErr w:type="spellStart"/>
      <w:r>
        <w:rPr>
          <w:rFonts w:ascii="Arial" w:eastAsia="Arial" w:hAnsi="Arial" w:cs="Arial"/>
          <w:sz w:val="24"/>
          <w:szCs w:val="24"/>
        </w:rPr>
        <w:t>lxs</w:t>
      </w:r>
      <w:proofErr w:type="spellEnd"/>
      <w:r>
        <w:rPr>
          <w:rFonts w:ascii="Arial" w:eastAsia="Arial" w:hAnsi="Arial" w:cs="Arial"/>
          <w:sz w:val="24"/>
          <w:szCs w:val="24"/>
        </w:rPr>
        <w:t xml:space="preserve"> actores sociales como un continuo que forma parte de la escuela. En el mismo sentido “las casas en la ciudad”, los vehículos particulares, comunizados también van a ser parte de este territorio-escuela. Por último, los lugares configurados territorialmente por la comunidad educativa como “lo peligroso” son considerados a la hora de construir las prácticas de enseñanza. Cabe destacar que en esta amalgama territorio-escuela, encontramos un estrecho vínculo de lo identitario y lo afectivo como necesario para que sucedan las prácticas educativas. </w:t>
      </w:r>
    </w:p>
    <w:p w14:paraId="0A73652C" w14:textId="77777777" w:rsidR="00424057" w:rsidRDefault="00424057">
      <w:pPr>
        <w:spacing w:line="360" w:lineRule="auto"/>
        <w:rPr>
          <w:rFonts w:ascii="Arial" w:eastAsia="Arial" w:hAnsi="Arial" w:cs="Arial"/>
          <w:b/>
          <w:bCs/>
          <w:sz w:val="24"/>
          <w:szCs w:val="24"/>
        </w:rPr>
      </w:pPr>
    </w:p>
    <w:p w14:paraId="7A921365" w14:textId="21426041" w:rsidR="00401820" w:rsidRDefault="00000000">
      <w:pPr>
        <w:spacing w:line="360" w:lineRule="auto"/>
      </w:pPr>
      <w:r>
        <w:rPr>
          <w:rFonts w:ascii="Arial" w:eastAsia="Arial" w:hAnsi="Arial" w:cs="Arial"/>
          <w:b/>
          <w:bCs/>
          <w:sz w:val="24"/>
          <w:szCs w:val="24"/>
        </w:rPr>
        <w:lastRenderedPageBreak/>
        <w:t>REFERENCIAS</w:t>
      </w:r>
    </w:p>
    <w:p w14:paraId="50FF0E2A" w14:textId="77777777" w:rsidR="00401820" w:rsidRDefault="00000000">
      <w:pPr>
        <w:spacing w:before="240" w:after="240" w:line="480" w:lineRule="auto"/>
        <w:ind w:hanging="720"/>
        <w:jc w:val="both"/>
        <w:rPr>
          <w:rFonts w:ascii="Arial" w:eastAsia="Arial" w:hAnsi="Arial" w:cs="Arial"/>
          <w:sz w:val="24"/>
          <w:szCs w:val="24"/>
        </w:rPr>
      </w:pPr>
      <w:r>
        <w:rPr>
          <w:rFonts w:ascii="Arial" w:eastAsia="Arial" w:hAnsi="Arial" w:cs="Arial"/>
          <w:sz w:val="24"/>
          <w:szCs w:val="24"/>
        </w:rPr>
        <w:t>Echeverri Perico, R., y Ribero, M. P. (2002). Nueva ruralidad visión del territorio en América Latina y el Caribe. Instituto Interamericano de cooperación para la agricultura (IICA).</w:t>
      </w:r>
    </w:p>
    <w:p w14:paraId="63CF407D" w14:textId="77777777" w:rsidR="00401820" w:rsidRDefault="00000000">
      <w:pPr>
        <w:spacing w:before="240" w:after="240" w:line="480" w:lineRule="auto"/>
        <w:ind w:hanging="720"/>
        <w:jc w:val="both"/>
        <w:rPr>
          <w:rFonts w:ascii="Arial" w:eastAsia="Arial" w:hAnsi="Arial" w:cs="Arial"/>
          <w:sz w:val="24"/>
          <w:szCs w:val="24"/>
        </w:rPr>
      </w:pPr>
      <w:r>
        <w:rPr>
          <w:rFonts w:ascii="Arial" w:eastAsia="Arial" w:hAnsi="Arial" w:cs="Arial"/>
          <w:sz w:val="24"/>
          <w:szCs w:val="24"/>
        </w:rPr>
        <w:t xml:space="preserve">Erickson, F. (1993). El discurso en el aula como improvisación: las relaciones entre la estructura de la tarea académica y la estructura de la participación social en clase. Lecturas de antropología para educadores. </w:t>
      </w:r>
      <w:r>
        <w:rPr>
          <w:rFonts w:ascii="Arial" w:eastAsia="Arial" w:hAnsi="Arial" w:cs="Arial"/>
          <w:i/>
          <w:iCs/>
          <w:sz w:val="24"/>
          <w:szCs w:val="24"/>
        </w:rPr>
        <w:t>El ámbito de la antropología de la educación y de la etnografía escolar,</w:t>
      </w:r>
      <w:r>
        <w:rPr>
          <w:rFonts w:ascii="Arial" w:eastAsia="Arial" w:hAnsi="Arial" w:cs="Arial"/>
          <w:sz w:val="24"/>
          <w:szCs w:val="24"/>
        </w:rPr>
        <w:t xml:space="preserve"> 315-354. </w:t>
      </w:r>
    </w:p>
    <w:p w14:paraId="20E9F672" w14:textId="77777777" w:rsidR="00401820" w:rsidRDefault="00000000">
      <w:pPr>
        <w:spacing w:before="240" w:after="240" w:line="480" w:lineRule="auto"/>
        <w:ind w:hanging="720"/>
        <w:jc w:val="both"/>
        <w:rPr>
          <w:rFonts w:ascii="Arial" w:eastAsia="Arial" w:hAnsi="Arial" w:cs="Arial"/>
          <w:sz w:val="24"/>
          <w:szCs w:val="24"/>
        </w:rPr>
      </w:pPr>
      <w:r>
        <w:rPr>
          <w:rFonts w:ascii="Arial" w:eastAsia="Arial" w:hAnsi="Arial" w:cs="Arial"/>
          <w:sz w:val="24"/>
          <w:szCs w:val="24"/>
        </w:rPr>
        <w:t>Finocchio, S. G. (2012). Currículum y sociedad: El estudio histórico de la cultura escolar.</w:t>
      </w:r>
    </w:p>
    <w:p w14:paraId="4AA030A1" w14:textId="77777777" w:rsidR="00401820" w:rsidRDefault="00000000">
      <w:pPr>
        <w:spacing w:before="240" w:after="240" w:line="480" w:lineRule="auto"/>
        <w:ind w:hanging="720"/>
        <w:jc w:val="both"/>
        <w:rPr>
          <w:rFonts w:ascii="Arial" w:eastAsia="Arial" w:hAnsi="Arial" w:cs="Arial"/>
          <w:sz w:val="24"/>
          <w:szCs w:val="24"/>
        </w:rPr>
      </w:pPr>
      <w:r>
        <w:rPr>
          <w:rFonts w:ascii="Arial" w:eastAsia="Arial" w:hAnsi="Arial" w:cs="Arial"/>
          <w:sz w:val="24"/>
          <w:szCs w:val="24"/>
          <w:highlight w:val="white"/>
        </w:rPr>
        <w:t xml:space="preserve">Haesbaert, R., &amp; </w:t>
      </w:r>
      <w:proofErr w:type="spellStart"/>
      <w:r>
        <w:rPr>
          <w:rFonts w:ascii="Arial" w:eastAsia="Arial" w:hAnsi="Arial" w:cs="Arial"/>
          <w:sz w:val="24"/>
          <w:szCs w:val="24"/>
          <w:highlight w:val="white"/>
        </w:rPr>
        <w:t>Limonad</w:t>
      </w:r>
      <w:proofErr w:type="spellEnd"/>
      <w:r>
        <w:rPr>
          <w:rFonts w:ascii="Arial" w:eastAsia="Arial" w:hAnsi="Arial" w:cs="Arial"/>
          <w:sz w:val="24"/>
          <w:szCs w:val="24"/>
          <w:highlight w:val="white"/>
        </w:rPr>
        <w:t xml:space="preserve">, E. (2007). </w:t>
      </w:r>
      <w:proofErr w:type="spellStart"/>
      <w:r>
        <w:rPr>
          <w:rFonts w:ascii="Arial" w:eastAsia="Arial" w:hAnsi="Arial" w:cs="Arial"/>
          <w:sz w:val="24"/>
          <w:szCs w:val="24"/>
          <w:highlight w:val="white"/>
        </w:rPr>
        <w:t>Espaço</w:t>
      </w:r>
      <w:proofErr w:type="spellEnd"/>
      <w:r>
        <w:rPr>
          <w:rFonts w:ascii="Arial" w:eastAsia="Arial" w:hAnsi="Arial" w:cs="Arial"/>
          <w:sz w:val="24"/>
          <w:szCs w:val="24"/>
          <w:highlight w:val="white"/>
        </w:rPr>
        <w:t xml:space="preserve">, tempo </w:t>
      </w:r>
      <w:proofErr w:type="gramStart"/>
      <w:r>
        <w:rPr>
          <w:rFonts w:ascii="Arial" w:eastAsia="Arial" w:hAnsi="Arial" w:cs="Arial"/>
          <w:sz w:val="24"/>
          <w:szCs w:val="24"/>
          <w:highlight w:val="white"/>
        </w:rPr>
        <w:t>e</w:t>
      </w:r>
      <w:proofErr w:type="gramEnd"/>
      <w:r>
        <w:rPr>
          <w:rFonts w:ascii="Arial" w:eastAsia="Arial" w:hAnsi="Arial" w:cs="Arial"/>
          <w:sz w:val="24"/>
          <w:szCs w:val="24"/>
          <w:highlight w:val="white"/>
        </w:rPr>
        <w:t xml:space="preserve"> crítica. </w:t>
      </w:r>
      <w:r>
        <w:rPr>
          <w:rFonts w:ascii="Arial" w:eastAsia="Arial" w:hAnsi="Arial" w:cs="Arial"/>
          <w:i/>
          <w:iCs/>
          <w:sz w:val="24"/>
          <w:szCs w:val="24"/>
          <w:highlight w:val="white"/>
        </w:rPr>
        <w:t xml:space="preserve">Revista </w:t>
      </w:r>
      <w:proofErr w:type="spellStart"/>
      <w:r>
        <w:rPr>
          <w:rFonts w:ascii="Arial" w:eastAsia="Arial" w:hAnsi="Arial" w:cs="Arial"/>
          <w:i/>
          <w:iCs/>
          <w:sz w:val="24"/>
          <w:szCs w:val="24"/>
          <w:highlight w:val="white"/>
        </w:rPr>
        <w:t>Eletrônica</w:t>
      </w:r>
      <w:proofErr w:type="spellEnd"/>
      <w:r>
        <w:rPr>
          <w:rFonts w:ascii="Arial" w:eastAsia="Arial" w:hAnsi="Arial" w:cs="Arial"/>
          <w:i/>
          <w:iCs/>
          <w:sz w:val="24"/>
          <w:szCs w:val="24"/>
          <w:highlight w:val="white"/>
        </w:rPr>
        <w:t xml:space="preserve"> de </w:t>
      </w:r>
      <w:proofErr w:type="spellStart"/>
      <w:r>
        <w:rPr>
          <w:rFonts w:ascii="Arial" w:eastAsia="Arial" w:hAnsi="Arial" w:cs="Arial"/>
          <w:i/>
          <w:iCs/>
          <w:sz w:val="24"/>
          <w:szCs w:val="24"/>
          <w:highlight w:val="white"/>
        </w:rPr>
        <w:t>Ciências</w:t>
      </w:r>
      <w:proofErr w:type="spellEnd"/>
      <w:r>
        <w:rPr>
          <w:rFonts w:ascii="Arial" w:eastAsia="Arial" w:hAnsi="Arial" w:cs="Arial"/>
          <w:i/>
          <w:iCs/>
          <w:sz w:val="24"/>
          <w:szCs w:val="24"/>
          <w:highlight w:val="white"/>
        </w:rPr>
        <w:t xml:space="preserve"> </w:t>
      </w:r>
      <w:proofErr w:type="spellStart"/>
      <w:r>
        <w:rPr>
          <w:rFonts w:ascii="Arial" w:eastAsia="Arial" w:hAnsi="Arial" w:cs="Arial"/>
          <w:i/>
          <w:iCs/>
          <w:sz w:val="24"/>
          <w:szCs w:val="24"/>
          <w:highlight w:val="white"/>
        </w:rPr>
        <w:t>Sociais</w:t>
      </w:r>
      <w:proofErr w:type="spellEnd"/>
      <w:r>
        <w:rPr>
          <w:rFonts w:ascii="Arial" w:eastAsia="Arial" w:hAnsi="Arial" w:cs="Arial"/>
          <w:i/>
          <w:iCs/>
          <w:sz w:val="24"/>
          <w:szCs w:val="24"/>
          <w:highlight w:val="white"/>
        </w:rPr>
        <w:t xml:space="preserve"> Aplicadas</w:t>
      </w:r>
      <w:r>
        <w:rPr>
          <w:rFonts w:ascii="Arial" w:eastAsia="Arial" w:hAnsi="Arial" w:cs="Arial"/>
          <w:sz w:val="24"/>
          <w:szCs w:val="24"/>
          <w:highlight w:val="white"/>
        </w:rPr>
        <w:t xml:space="preserve">, </w:t>
      </w:r>
      <w:r>
        <w:rPr>
          <w:rFonts w:ascii="Arial" w:eastAsia="Arial" w:hAnsi="Arial" w:cs="Arial"/>
          <w:i/>
          <w:iCs/>
          <w:sz w:val="24"/>
          <w:szCs w:val="24"/>
          <w:highlight w:val="white"/>
        </w:rPr>
        <w:t>1</w:t>
      </w:r>
      <w:r>
        <w:rPr>
          <w:rFonts w:ascii="Arial" w:eastAsia="Arial" w:hAnsi="Arial" w:cs="Arial"/>
          <w:sz w:val="24"/>
          <w:szCs w:val="24"/>
          <w:highlight w:val="white"/>
        </w:rPr>
        <w:t>(2).</w:t>
      </w:r>
    </w:p>
    <w:p w14:paraId="7E7679AF" w14:textId="77777777" w:rsidR="00401820" w:rsidRDefault="00000000">
      <w:pPr>
        <w:spacing w:before="240" w:after="240" w:line="480" w:lineRule="auto"/>
        <w:ind w:hanging="720"/>
        <w:jc w:val="both"/>
        <w:rPr>
          <w:rFonts w:ascii="Arial" w:eastAsia="Arial" w:hAnsi="Arial" w:cs="Arial"/>
          <w:sz w:val="24"/>
          <w:szCs w:val="24"/>
        </w:rPr>
      </w:pPr>
      <w:r>
        <w:rPr>
          <w:rFonts w:ascii="Arial" w:eastAsia="Arial" w:hAnsi="Arial" w:cs="Arial"/>
          <w:sz w:val="24"/>
          <w:szCs w:val="24"/>
          <w:highlight w:val="white"/>
        </w:rPr>
        <w:t>Castro, H., y Reboratti, C. E. (2007).</w:t>
      </w:r>
      <w:r>
        <w:rPr>
          <w:rFonts w:ascii="Arial" w:eastAsia="Arial" w:hAnsi="Arial" w:cs="Arial"/>
          <w:i/>
          <w:iCs/>
          <w:sz w:val="24"/>
          <w:szCs w:val="24"/>
          <w:highlight w:val="white"/>
        </w:rPr>
        <w:t xml:space="preserve"> </w:t>
      </w:r>
      <w:r>
        <w:rPr>
          <w:rFonts w:ascii="Arial" w:eastAsia="Arial" w:hAnsi="Arial" w:cs="Arial"/>
          <w:sz w:val="24"/>
          <w:szCs w:val="24"/>
        </w:rPr>
        <w:t xml:space="preserve"> </w:t>
      </w:r>
      <w:r>
        <w:rPr>
          <w:rFonts w:ascii="Arial" w:eastAsia="Arial" w:hAnsi="Arial" w:cs="Arial"/>
          <w:i/>
          <w:iCs/>
          <w:sz w:val="24"/>
          <w:szCs w:val="24"/>
        </w:rPr>
        <w:t xml:space="preserve">Revisión del concepto de ruralidad en la Argentina y alternativas posibles para su redefinición. </w:t>
      </w:r>
      <w:r>
        <w:rPr>
          <w:rFonts w:ascii="Arial" w:eastAsia="Arial" w:hAnsi="Arial" w:cs="Arial"/>
          <w:sz w:val="24"/>
          <w:szCs w:val="24"/>
        </w:rPr>
        <w:t>Buenos Air</w:t>
      </w:r>
      <w:r>
        <w:rPr>
          <w:rFonts w:ascii="Arial" w:eastAsia="Arial" w:hAnsi="Arial" w:cs="Arial"/>
          <w:sz w:val="24"/>
          <w:szCs w:val="24"/>
          <w:highlight w:val="white"/>
        </w:rPr>
        <w:t>.</w:t>
      </w:r>
      <w:r>
        <w:rPr>
          <w:rFonts w:ascii="Arial" w:eastAsia="Arial" w:hAnsi="Arial" w:cs="Arial"/>
          <w:sz w:val="24"/>
          <w:szCs w:val="24"/>
        </w:rPr>
        <w:t xml:space="preserve">es: Secretaría Agricultura, Ganadería, Pesca y Alimentos, </w:t>
      </w:r>
      <w:proofErr w:type="spellStart"/>
      <w:r>
        <w:rPr>
          <w:rFonts w:ascii="Arial" w:eastAsia="Arial" w:hAnsi="Arial" w:cs="Arial"/>
          <w:sz w:val="24"/>
          <w:szCs w:val="24"/>
        </w:rPr>
        <w:t>Proinder</w:t>
      </w:r>
      <w:proofErr w:type="spellEnd"/>
      <w:r>
        <w:rPr>
          <w:rFonts w:ascii="Arial" w:eastAsia="Arial" w:hAnsi="Arial" w:cs="Arial"/>
          <w:sz w:val="24"/>
          <w:szCs w:val="24"/>
        </w:rPr>
        <w:t>.</w:t>
      </w:r>
    </w:p>
    <w:p w14:paraId="22272FAE" w14:textId="77777777" w:rsidR="00401820" w:rsidRDefault="00000000">
      <w:pPr>
        <w:spacing w:before="240" w:after="240" w:line="480" w:lineRule="auto"/>
        <w:ind w:hanging="720"/>
        <w:jc w:val="both"/>
        <w:rPr>
          <w:rFonts w:ascii="Arial" w:eastAsia="Arial" w:hAnsi="Arial" w:cs="Arial"/>
          <w:sz w:val="24"/>
          <w:szCs w:val="24"/>
        </w:rPr>
      </w:pPr>
      <w:r>
        <w:rPr>
          <w:rFonts w:ascii="Arial" w:eastAsia="Arial" w:hAnsi="Arial" w:cs="Arial"/>
          <w:sz w:val="24"/>
          <w:szCs w:val="24"/>
        </w:rPr>
        <w:t>Gulino, C. L. (2024). Las prácticas de gestión curricular en las instituciones de modalidad rural en el nivel primario en la isla de Tierra del Fuego, entre los años 2022 y 2023. UNQ.RIIDA</w:t>
      </w:r>
    </w:p>
    <w:p w14:paraId="545CD87D" w14:textId="77777777" w:rsidR="00401820" w:rsidRDefault="00000000">
      <w:pPr>
        <w:spacing w:before="240" w:after="240" w:line="480" w:lineRule="auto"/>
        <w:ind w:hanging="720"/>
        <w:jc w:val="both"/>
        <w:rPr>
          <w:rFonts w:ascii="Arial" w:eastAsia="Arial" w:hAnsi="Arial" w:cs="Arial"/>
          <w:sz w:val="24"/>
          <w:szCs w:val="24"/>
        </w:rPr>
      </w:pPr>
      <w:r>
        <w:rPr>
          <w:rFonts w:ascii="Arial" w:eastAsia="Arial" w:hAnsi="Arial" w:cs="Arial"/>
          <w:sz w:val="24"/>
          <w:szCs w:val="24"/>
        </w:rPr>
        <w:t xml:space="preserve">Larrosa, J., &amp; </w:t>
      </w:r>
      <w:proofErr w:type="spellStart"/>
      <w:r>
        <w:rPr>
          <w:rFonts w:ascii="Arial" w:eastAsia="Arial" w:hAnsi="Arial" w:cs="Arial"/>
          <w:sz w:val="24"/>
          <w:szCs w:val="24"/>
        </w:rPr>
        <w:t>Rechia</w:t>
      </w:r>
      <w:proofErr w:type="spellEnd"/>
      <w:r>
        <w:rPr>
          <w:rFonts w:ascii="Arial" w:eastAsia="Arial" w:hAnsi="Arial" w:cs="Arial"/>
          <w:sz w:val="24"/>
          <w:szCs w:val="24"/>
        </w:rPr>
        <w:t xml:space="preserve">, K. (2019). P de Profesor. </w:t>
      </w:r>
      <w:proofErr w:type="spellStart"/>
      <w:r>
        <w:rPr>
          <w:rFonts w:ascii="Arial" w:eastAsia="Arial" w:hAnsi="Arial" w:cs="Arial"/>
          <w:sz w:val="24"/>
          <w:szCs w:val="24"/>
        </w:rPr>
        <w:t>Noveduc</w:t>
      </w:r>
      <w:proofErr w:type="spellEnd"/>
      <w:r>
        <w:rPr>
          <w:rFonts w:ascii="Arial" w:eastAsia="Arial" w:hAnsi="Arial" w:cs="Arial"/>
          <w:sz w:val="24"/>
          <w:szCs w:val="24"/>
        </w:rPr>
        <w:t>.</w:t>
      </w:r>
    </w:p>
    <w:p w14:paraId="08EA08AF" w14:textId="77777777" w:rsidR="00401820" w:rsidRDefault="00000000">
      <w:pPr>
        <w:spacing w:before="240" w:after="240" w:line="480" w:lineRule="auto"/>
        <w:ind w:hanging="720"/>
        <w:jc w:val="both"/>
        <w:rPr>
          <w:rFonts w:ascii="Arial" w:eastAsia="Arial" w:hAnsi="Arial" w:cs="Arial"/>
          <w:sz w:val="24"/>
          <w:szCs w:val="24"/>
        </w:rPr>
      </w:pPr>
      <w:proofErr w:type="spellStart"/>
      <w:r>
        <w:rPr>
          <w:rFonts w:ascii="Arial" w:eastAsia="Arial" w:hAnsi="Arial" w:cs="Arial"/>
          <w:sz w:val="24"/>
          <w:szCs w:val="24"/>
          <w:highlight w:val="white"/>
        </w:rPr>
        <w:t>Livraghi</w:t>
      </w:r>
      <w:proofErr w:type="spellEnd"/>
      <w:r>
        <w:rPr>
          <w:rFonts w:ascii="Arial" w:eastAsia="Arial" w:hAnsi="Arial" w:cs="Arial"/>
          <w:sz w:val="24"/>
          <w:szCs w:val="24"/>
          <w:highlight w:val="white"/>
        </w:rPr>
        <w:t xml:space="preserve">, E. C. (2011). Los ovejeros del fin del mundo y su relación con la tecnología: percepciones acerca de las reservas forrajeras para uso estratégico </w:t>
      </w:r>
      <w:proofErr w:type="spellStart"/>
      <w:proofErr w:type="gramStart"/>
      <w:r>
        <w:rPr>
          <w:rFonts w:ascii="Arial" w:eastAsia="Arial" w:hAnsi="Arial" w:cs="Arial"/>
          <w:sz w:val="24"/>
          <w:szCs w:val="24"/>
          <w:highlight w:val="white"/>
        </w:rPr>
        <w:t>invernal.Tesis</w:t>
      </w:r>
      <w:proofErr w:type="spellEnd"/>
      <w:proofErr w:type="gramEnd"/>
      <w:r>
        <w:rPr>
          <w:rFonts w:ascii="Arial" w:eastAsia="Arial" w:hAnsi="Arial" w:cs="Arial"/>
          <w:sz w:val="24"/>
          <w:szCs w:val="24"/>
          <w:highlight w:val="white"/>
        </w:rPr>
        <w:t xml:space="preserve"> de Maestría. FLACSO. Sede Académica Argentina, Buenos Aires.</w:t>
      </w:r>
    </w:p>
    <w:p w14:paraId="155BC9D0" w14:textId="77777777" w:rsidR="00401820" w:rsidRDefault="00000000">
      <w:pPr>
        <w:spacing w:before="240" w:after="240" w:line="480" w:lineRule="auto"/>
        <w:ind w:hanging="720"/>
        <w:jc w:val="both"/>
        <w:rPr>
          <w:rFonts w:ascii="Arial" w:eastAsia="Arial" w:hAnsi="Arial" w:cs="Arial"/>
          <w:sz w:val="24"/>
          <w:szCs w:val="24"/>
          <w:highlight w:val="white"/>
        </w:rPr>
      </w:pPr>
      <w:r>
        <w:rPr>
          <w:rFonts w:ascii="Arial" w:eastAsia="Arial" w:hAnsi="Arial" w:cs="Arial"/>
          <w:sz w:val="24"/>
          <w:szCs w:val="24"/>
          <w:highlight w:val="white"/>
        </w:rPr>
        <w:lastRenderedPageBreak/>
        <w:t xml:space="preserve">Manzanal, M. (2006): “Regiones, territorios e institucionalidad del desarrollo rural”, en M. Manzanal, G. Neiman y M. </w:t>
      </w:r>
      <w:proofErr w:type="spellStart"/>
      <w:r>
        <w:rPr>
          <w:rFonts w:ascii="Arial" w:eastAsia="Arial" w:hAnsi="Arial" w:cs="Arial"/>
          <w:sz w:val="24"/>
          <w:szCs w:val="24"/>
          <w:highlight w:val="white"/>
        </w:rPr>
        <w:t>Lattuada</w:t>
      </w:r>
      <w:proofErr w:type="spellEnd"/>
      <w:r>
        <w:rPr>
          <w:rFonts w:ascii="Arial" w:eastAsia="Arial" w:hAnsi="Arial" w:cs="Arial"/>
          <w:sz w:val="24"/>
          <w:szCs w:val="24"/>
          <w:highlight w:val="white"/>
        </w:rPr>
        <w:t xml:space="preserve"> (</w:t>
      </w:r>
      <w:proofErr w:type="spellStart"/>
      <w:r>
        <w:rPr>
          <w:rFonts w:ascii="Arial" w:eastAsia="Arial" w:hAnsi="Arial" w:cs="Arial"/>
          <w:sz w:val="24"/>
          <w:szCs w:val="24"/>
          <w:highlight w:val="white"/>
        </w:rPr>
        <w:t>comps</w:t>
      </w:r>
      <w:proofErr w:type="spellEnd"/>
      <w:r>
        <w:rPr>
          <w:rFonts w:ascii="Arial" w:eastAsia="Arial" w:hAnsi="Arial" w:cs="Arial"/>
          <w:sz w:val="24"/>
          <w:szCs w:val="24"/>
          <w:highlight w:val="white"/>
        </w:rPr>
        <w:t xml:space="preserve">.), Desarrollo rural. Organizaciones, instituciones y territorios, Buenos Aires, </w:t>
      </w:r>
      <w:proofErr w:type="spellStart"/>
      <w:r>
        <w:rPr>
          <w:rFonts w:ascii="Arial" w:eastAsia="Arial" w:hAnsi="Arial" w:cs="Arial"/>
          <w:sz w:val="24"/>
          <w:szCs w:val="24"/>
          <w:highlight w:val="white"/>
        </w:rPr>
        <w:t>Ciccus</w:t>
      </w:r>
      <w:proofErr w:type="spellEnd"/>
      <w:r>
        <w:rPr>
          <w:rFonts w:ascii="Arial" w:eastAsia="Arial" w:hAnsi="Arial" w:cs="Arial"/>
          <w:sz w:val="24"/>
          <w:szCs w:val="24"/>
          <w:highlight w:val="white"/>
        </w:rPr>
        <w:t>.</w:t>
      </w:r>
    </w:p>
    <w:p w14:paraId="7D59F8CA" w14:textId="77777777" w:rsidR="00401820" w:rsidRDefault="00000000">
      <w:pPr>
        <w:spacing w:before="240" w:after="240" w:line="480" w:lineRule="auto"/>
        <w:ind w:hanging="720"/>
        <w:jc w:val="both"/>
        <w:rPr>
          <w:rFonts w:ascii="Arial" w:eastAsia="Arial" w:hAnsi="Arial" w:cs="Arial"/>
          <w:i/>
          <w:iCs/>
          <w:sz w:val="24"/>
          <w:szCs w:val="24"/>
        </w:rPr>
      </w:pPr>
      <w:proofErr w:type="spellStart"/>
      <w:r>
        <w:rPr>
          <w:rFonts w:ascii="Arial" w:eastAsia="Arial" w:hAnsi="Arial" w:cs="Arial"/>
          <w:sz w:val="24"/>
          <w:szCs w:val="24"/>
        </w:rPr>
        <w:t>Plencovich</w:t>
      </w:r>
      <w:proofErr w:type="spellEnd"/>
      <w:r>
        <w:rPr>
          <w:rFonts w:ascii="Arial" w:eastAsia="Arial" w:hAnsi="Arial" w:cs="Arial"/>
          <w:sz w:val="24"/>
          <w:szCs w:val="24"/>
        </w:rPr>
        <w:t xml:space="preserve">, M. C., Costantini, A., y Bocchicchio, A. M. (2009). La educación agropecuaria en la Argentina. Génesis y estructura. Buenos Aires </w:t>
      </w:r>
      <w:r>
        <w:rPr>
          <w:rFonts w:ascii="Arial" w:eastAsia="Arial" w:hAnsi="Arial" w:cs="Arial"/>
          <w:i/>
          <w:iCs/>
          <w:sz w:val="24"/>
          <w:szCs w:val="24"/>
        </w:rPr>
        <w:t>CICCUS.</w:t>
      </w:r>
    </w:p>
    <w:p w14:paraId="7FAA617A" w14:textId="77777777" w:rsidR="00401820" w:rsidRDefault="00000000">
      <w:pPr>
        <w:spacing w:before="240" w:after="240" w:line="480" w:lineRule="auto"/>
        <w:ind w:hanging="720"/>
        <w:jc w:val="both"/>
        <w:rPr>
          <w:rFonts w:ascii="Arial" w:eastAsia="Arial" w:hAnsi="Arial" w:cs="Arial"/>
          <w:i/>
          <w:iCs/>
          <w:sz w:val="24"/>
          <w:szCs w:val="24"/>
        </w:rPr>
      </w:pPr>
      <w:r>
        <w:rPr>
          <w:rFonts w:ascii="Arial" w:eastAsia="Arial" w:hAnsi="Arial" w:cs="Arial"/>
          <w:sz w:val="24"/>
          <w:szCs w:val="24"/>
        </w:rPr>
        <w:t>Rockwell, E. (2009).</w:t>
      </w:r>
      <w:r>
        <w:rPr>
          <w:rFonts w:ascii="Arial" w:eastAsia="Arial" w:hAnsi="Arial" w:cs="Arial"/>
          <w:i/>
          <w:iCs/>
          <w:sz w:val="24"/>
          <w:szCs w:val="24"/>
        </w:rPr>
        <w:t xml:space="preserve"> La experiencia etnográfica. Historia y cultura en los procesos educativos, 171-184. </w:t>
      </w:r>
    </w:p>
    <w:p w14:paraId="466A8E84" w14:textId="77777777" w:rsidR="00401820" w:rsidRDefault="00000000">
      <w:pPr>
        <w:spacing w:before="240" w:after="240" w:line="480" w:lineRule="auto"/>
        <w:ind w:hanging="720"/>
        <w:jc w:val="both"/>
        <w:rPr>
          <w:rFonts w:ascii="Arial" w:eastAsia="Arial" w:hAnsi="Arial" w:cs="Arial"/>
          <w:color w:val="0000FF"/>
          <w:sz w:val="24"/>
          <w:szCs w:val="24"/>
        </w:rPr>
      </w:pPr>
      <w:r>
        <w:rPr>
          <w:rFonts w:ascii="Arial" w:eastAsia="Arial" w:hAnsi="Arial" w:cs="Arial"/>
          <w:sz w:val="24"/>
          <w:szCs w:val="24"/>
        </w:rPr>
        <w:t xml:space="preserve">Romero, N. (2020). Hacia una metodología comprensiva de "lo rural": Lecturas situadas desde el campo de la educación. </w:t>
      </w:r>
      <w:r>
        <w:rPr>
          <w:rFonts w:ascii="Arial" w:eastAsia="Arial" w:hAnsi="Arial" w:cs="Arial"/>
          <w:i/>
          <w:iCs/>
          <w:sz w:val="24"/>
          <w:szCs w:val="24"/>
        </w:rPr>
        <w:t xml:space="preserve">Andes, Vol.31(1), 00. </w:t>
      </w:r>
      <w:r>
        <w:rPr>
          <w:rFonts w:ascii="Arial" w:eastAsia="Arial" w:hAnsi="Arial" w:cs="Arial"/>
          <w:sz w:val="24"/>
          <w:szCs w:val="24"/>
        </w:rPr>
        <w:t xml:space="preserve">Recuperado de </w:t>
      </w:r>
      <w:hyperlink r:id="rId9">
        <w:r>
          <w:rPr>
            <w:rFonts w:ascii="Arial" w:eastAsia="Arial" w:hAnsi="Arial" w:cs="Arial"/>
            <w:color w:val="0000FF"/>
            <w:sz w:val="24"/>
            <w:szCs w:val="24"/>
            <w:u w:val="single"/>
          </w:rPr>
          <w:t>http://www.scielo.org.ar/scielo.php?script=sci_arttext&amp;pid=S1668-80902020000100004&amp;lng=es&amp;tlng=es</w:t>
        </w:r>
      </w:hyperlink>
    </w:p>
    <w:p w14:paraId="00EA27E9" w14:textId="77777777" w:rsidR="00401820" w:rsidRDefault="00000000">
      <w:pPr>
        <w:spacing w:before="240" w:after="240" w:line="480" w:lineRule="auto"/>
        <w:ind w:hanging="720"/>
        <w:jc w:val="both"/>
        <w:rPr>
          <w:rFonts w:ascii="Arial" w:eastAsia="Arial" w:hAnsi="Arial" w:cs="Arial"/>
          <w:sz w:val="24"/>
          <w:szCs w:val="24"/>
        </w:rPr>
      </w:pPr>
      <w:r>
        <w:rPr>
          <w:rFonts w:ascii="Arial" w:eastAsia="Arial" w:hAnsi="Arial" w:cs="Arial"/>
          <w:sz w:val="24"/>
          <w:szCs w:val="24"/>
          <w:highlight w:val="white"/>
        </w:rPr>
        <w:t>Sosa Velásquez, M. (2012).</w:t>
      </w:r>
      <w:r>
        <w:rPr>
          <w:rFonts w:ascii="Arial" w:eastAsia="Arial" w:hAnsi="Arial" w:cs="Arial"/>
          <w:i/>
          <w:iCs/>
          <w:sz w:val="24"/>
          <w:szCs w:val="24"/>
          <w:highlight w:val="white"/>
        </w:rPr>
        <w:t xml:space="preserve"> ¿Cómo entender el </w:t>
      </w:r>
      <w:proofErr w:type="gramStart"/>
      <w:r>
        <w:rPr>
          <w:rFonts w:ascii="Arial" w:eastAsia="Arial" w:hAnsi="Arial" w:cs="Arial"/>
          <w:i/>
          <w:iCs/>
          <w:sz w:val="24"/>
          <w:szCs w:val="24"/>
          <w:highlight w:val="white"/>
        </w:rPr>
        <w:t>territorio?.</w:t>
      </w:r>
      <w:proofErr w:type="gramEnd"/>
      <w:r>
        <w:rPr>
          <w:rFonts w:ascii="Arial" w:eastAsia="Arial" w:hAnsi="Arial" w:cs="Arial"/>
          <w:i/>
          <w:iCs/>
          <w:sz w:val="24"/>
          <w:szCs w:val="24"/>
          <w:highlight w:val="white"/>
        </w:rPr>
        <w:t xml:space="preserve"> </w:t>
      </w:r>
      <w:r>
        <w:rPr>
          <w:rFonts w:ascii="Arial" w:eastAsia="Arial" w:hAnsi="Arial" w:cs="Arial"/>
          <w:sz w:val="24"/>
          <w:szCs w:val="24"/>
          <w:highlight w:val="white"/>
        </w:rPr>
        <w:t xml:space="preserve">Guatemala: Editorial Cara </w:t>
      </w:r>
      <w:proofErr w:type="spellStart"/>
      <w:r>
        <w:rPr>
          <w:rFonts w:ascii="Arial" w:eastAsia="Arial" w:hAnsi="Arial" w:cs="Arial"/>
          <w:sz w:val="24"/>
          <w:szCs w:val="24"/>
          <w:highlight w:val="white"/>
        </w:rPr>
        <w:t>Parens</w:t>
      </w:r>
      <w:proofErr w:type="spellEnd"/>
      <w:r>
        <w:rPr>
          <w:rFonts w:ascii="Arial" w:eastAsia="Arial" w:hAnsi="Arial" w:cs="Arial"/>
          <w:sz w:val="24"/>
          <w:szCs w:val="24"/>
          <w:highlight w:val="white"/>
        </w:rPr>
        <w:t xml:space="preserve"> Universidad Rafael Landivar.</w:t>
      </w:r>
    </w:p>
    <w:p w14:paraId="3209D3D6" w14:textId="77777777" w:rsidR="00401820" w:rsidRDefault="00000000">
      <w:pPr>
        <w:spacing w:before="240" w:after="240" w:line="480" w:lineRule="auto"/>
        <w:ind w:hanging="720"/>
        <w:jc w:val="both"/>
        <w:rPr>
          <w:rFonts w:ascii="Arial" w:eastAsia="Arial" w:hAnsi="Arial" w:cs="Arial"/>
          <w:i/>
          <w:iCs/>
          <w:sz w:val="24"/>
          <w:szCs w:val="24"/>
        </w:rPr>
      </w:pPr>
      <w:proofErr w:type="spellStart"/>
      <w:r>
        <w:rPr>
          <w:rFonts w:ascii="Arial" w:eastAsia="Arial" w:hAnsi="Arial" w:cs="Arial"/>
          <w:sz w:val="24"/>
          <w:szCs w:val="24"/>
        </w:rPr>
        <w:t>Zattera</w:t>
      </w:r>
      <w:proofErr w:type="spellEnd"/>
      <w:r>
        <w:rPr>
          <w:rFonts w:ascii="Arial" w:eastAsia="Arial" w:hAnsi="Arial" w:cs="Arial"/>
          <w:sz w:val="24"/>
          <w:szCs w:val="24"/>
        </w:rPr>
        <w:t>, O. (2015).</w:t>
      </w:r>
      <w:r>
        <w:rPr>
          <w:rFonts w:ascii="Arial" w:eastAsia="Arial" w:hAnsi="Arial" w:cs="Arial"/>
          <w:i/>
          <w:iCs/>
          <w:sz w:val="24"/>
          <w:szCs w:val="24"/>
        </w:rPr>
        <w:t xml:space="preserve"> Enseñar y aprender en el campo. Reflexiones sobre el sistema educativo en el ámbito rural.</w:t>
      </w:r>
    </w:p>
    <w:p w14:paraId="3E108971" w14:textId="77777777" w:rsidR="00401820" w:rsidRDefault="00000000">
      <w:pPr>
        <w:spacing w:before="240" w:after="240" w:line="480" w:lineRule="auto"/>
        <w:ind w:hanging="720"/>
        <w:jc w:val="both"/>
        <w:rPr>
          <w:rFonts w:ascii="Arial" w:eastAsia="Arial" w:hAnsi="Arial" w:cs="Arial"/>
          <w:b/>
          <w:bCs/>
          <w:sz w:val="24"/>
          <w:szCs w:val="24"/>
        </w:rPr>
      </w:pPr>
      <w:r>
        <w:rPr>
          <w:rFonts w:ascii="Arial" w:eastAsia="Arial" w:hAnsi="Arial" w:cs="Arial"/>
          <w:b/>
          <w:bCs/>
          <w:sz w:val="24"/>
          <w:szCs w:val="24"/>
        </w:rPr>
        <w:t>Páginas web consultadas</w:t>
      </w:r>
    </w:p>
    <w:p w14:paraId="1B758B15" w14:textId="77777777" w:rsidR="00401820" w:rsidRDefault="00000000">
      <w:pPr>
        <w:spacing w:after="0" w:line="360" w:lineRule="auto"/>
        <w:ind w:hanging="566"/>
        <w:jc w:val="both"/>
        <w:rPr>
          <w:rFonts w:ascii="Arial" w:eastAsia="Arial" w:hAnsi="Arial" w:cs="Arial"/>
          <w:sz w:val="24"/>
          <w:szCs w:val="24"/>
        </w:rPr>
      </w:pPr>
      <w:r>
        <w:rPr>
          <w:rFonts w:ascii="Arial" w:eastAsia="Arial" w:hAnsi="Arial" w:cs="Arial"/>
          <w:sz w:val="24"/>
          <w:szCs w:val="24"/>
        </w:rPr>
        <w:t xml:space="preserve">Burneo, Mária Luisa [Facultad de Ciencias Sociales UN] (En el marco de la Semana de Antropología, realizada del 10 al 13 de junio. 2019) Nueva ruralidad y </w:t>
      </w:r>
      <w:proofErr w:type="gramStart"/>
      <w:r>
        <w:rPr>
          <w:rFonts w:ascii="Arial" w:eastAsia="Arial" w:hAnsi="Arial" w:cs="Arial"/>
          <w:sz w:val="24"/>
          <w:szCs w:val="24"/>
        </w:rPr>
        <w:t>comunidades  [</w:t>
      </w:r>
      <w:proofErr w:type="gramEnd"/>
      <w:r>
        <w:rPr>
          <w:rFonts w:ascii="Arial" w:eastAsia="Arial" w:hAnsi="Arial" w:cs="Arial"/>
          <w:sz w:val="24"/>
          <w:szCs w:val="24"/>
        </w:rPr>
        <w:t>video] https://www.youtube.com/watch?v=oFPBxvDuuJg&amp;t=2202s</w:t>
      </w:r>
    </w:p>
    <w:p w14:paraId="07656A51" w14:textId="77777777" w:rsidR="00401820" w:rsidRDefault="00401820">
      <w:pPr>
        <w:spacing w:after="0" w:line="360" w:lineRule="auto"/>
        <w:ind w:hanging="566"/>
        <w:jc w:val="both"/>
        <w:rPr>
          <w:rFonts w:ascii="Arial" w:eastAsia="Arial" w:hAnsi="Arial" w:cs="Arial"/>
          <w:sz w:val="24"/>
          <w:szCs w:val="24"/>
        </w:rPr>
      </w:pPr>
    </w:p>
    <w:p w14:paraId="2BAE2D67" w14:textId="07FD0E5F" w:rsidR="00401820" w:rsidRPr="00424057" w:rsidRDefault="00000000" w:rsidP="00424057">
      <w:pPr>
        <w:spacing w:after="0" w:line="360" w:lineRule="auto"/>
        <w:ind w:hanging="566"/>
        <w:jc w:val="both"/>
        <w:rPr>
          <w:rFonts w:ascii="Arial" w:eastAsia="Arial" w:hAnsi="Arial" w:cs="Arial"/>
          <w:sz w:val="24"/>
          <w:szCs w:val="24"/>
        </w:rPr>
      </w:pPr>
      <w:r>
        <w:rPr>
          <w:rFonts w:ascii="Arial" w:eastAsia="Arial" w:hAnsi="Arial" w:cs="Arial"/>
          <w:sz w:val="24"/>
          <w:szCs w:val="24"/>
        </w:rPr>
        <w:t xml:space="preserve">Ríos </w:t>
      </w:r>
      <w:proofErr w:type="gramStart"/>
      <w:r>
        <w:rPr>
          <w:rFonts w:ascii="Arial" w:eastAsia="Arial" w:hAnsi="Arial" w:cs="Arial"/>
          <w:sz w:val="24"/>
          <w:szCs w:val="24"/>
        </w:rPr>
        <w:t>Alejandro,[</w:t>
      </w:r>
      <w:proofErr w:type="gramEnd"/>
      <w:r>
        <w:rPr>
          <w:rFonts w:ascii="Arial" w:eastAsia="Arial" w:hAnsi="Arial" w:cs="Arial"/>
          <w:sz w:val="24"/>
          <w:szCs w:val="24"/>
        </w:rPr>
        <w:t xml:space="preserve">Sociología Agraria] (29 de abril </w:t>
      </w:r>
      <w:proofErr w:type="gramStart"/>
      <w:r>
        <w:rPr>
          <w:rFonts w:ascii="Arial" w:eastAsia="Arial" w:hAnsi="Arial" w:cs="Arial"/>
          <w:sz w:val="24"/>
          <w:szCs w:val="24"/>
        </w:rPr>
        <w:t>2023 )</w:t>
      </w:r>
      <w:proofErr w:type="gramEnd"/>
      <w:r>
        <w:rPr>
          <w:rFonts w:ascii="Arial" w:eastAsia="Arial" w:hAnsi="Arial" w:cs="Arial"/>
          <w:sz w:val="24"/>
          <w:szCs w:val="24"/>
        </w:rPr>
        <w:t>. ¿Qué es la ruralidad? Curso[video]</w:t>
      </w:r>
      <w:proofErr w:type="spellStart"/>
      <w:r>
        <w:rPr>
          <w:rFonts w:ascii="Arial" w:eastAsia="Arial" w:hAnsi="Arial" w:cs="Arial"/>
          <w:sz w:val="24"/>
          <w:szCs w:val="24"/>
        </w:rPr>
        <w:t>Youtube</w:t>
      </w:r>
      <w:proofErr w:type="spellEnd"/>
      <w:r>
        <w:rPr>
          <w:rFonts w:ascii="Arial" w:eastAsia="Arial" w:hAnsi="Arial" w:cs="Arial"/>
          <w:sz w:val="24"/>
          <w:szCs w:val="24"/>
        </w:rPr>
        <w:t xml:space="preserve">. </w:t>
      </w:r>
      <w:hyperlink r:id="rId10">
        <w:r>
          <w:rPr>
            <w:rFonts w:ascii="Arial" w:eastAsia="Arial" w:hAnsi="Arial" w:cs="Arial"/>
            <w:sz w:val="24"/>
            <w:szCs w:val="24"/>
          </w:rPr>
          <w:t>https://www.youtube.com/watch?v=zG4PmfAhQG8</w:t>
        </w:r>
      </w:hyperlink>
    </w:p>
    <w:sectPr w:rsidR="00401820" w:rsidRPr="00424057">
      <w:headerReference w:type="default" r:id="rId11"/>
      <w:footerReference w:type="default" r:id="rId12"/>
      <w:pgSz w:w="12240" w:h="15840"/>
      <w:pgMar w:top="1417" w:right="1417" w:bottom="1417" w:left="1417"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8C7ACD" w14:textId="77777777" w:rsidR="00960542" w:rsidRDefault="00960542">
      <w:pPr>
        <w:spacing w:after="0" w:line="240" w:lineRule="auto"/>
      </w:pPr>
      <w:r>
        <w:separator/>
      </w:r>
    </w:p>
  </w:endnote>
  <w:endnote w:type="continuationSeparator" w:id="0">
    <w:p w14:paraId="17F19109" w14:textId="77777777" w:rsidR="00960542" w:rsidRDefault="009605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embedRegular r:id="rId1" w:fontKey="{2A80DE48-6B08-4153-8FF7-A38C68B7CBFC}"/>
    <w:embedBold r:id="rId2" w:fontKey="{C4775EF0-4CB7-432C-85E7-7355A8AE18F6}"/>
    <w:embedItalic r:id="rId3" w:fontKey="{4855B77D-E995-4C2D-A132-51AEA1CED2BD}"/>
    <w:embedBoldItalic r:id="rId4" w:fontKey="{7CFFF775-1EF3-4201-8201-CFA71F77B5F8}"/>
  </w:font>
  <w:font w:name="Calibri">
    <w:panose1 w:val="020F0502020204030204"/>
    <w:charset w:val="00"/>
    <w:family w:val="swiss"/>
    <w:pitch w:val="variable"/>
    <w:sig w:usb0="E4002EFF" w:usb1="C200247B" w:usb2="00000009" w:usb3="00000000" w:csb0="000001FF" w:csb1="00000000"/>
    <w:embedRegular r:id="rId5" w:fontKey="{5F030613-42C7-4992-87D4-1B51CDA40176}"/>
    <w:embedBold r:id="rId6" w:fontKey="{D4DDD444-DA5A-4B14-B515-75D920B348C6}"/>
    <w:embedItalic r:id="rId7" w:fontKey="{D7B155D8-F8A8-4AFC-8020-F81E7D57454F}"/>
    <w:embedBoldItalic r:id="rId8" w:fontKey="{23A9DA01-0636-4DB4-8FF9-FFCC2604B6F4}"/>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6BD868" w14:textId="77777777" w:rsidR="00401820" w:rsidRDefault="00000000">
    <w:pPr>
      <w:pBdr>
        <w:top w:val="nil"/>
        <w:left w:val="nil"/>
        <w:bottom w:val="nil"/>
        <w:right w:val="nil"/>
        <w:between w:val="nil"/>
      </w:pBdr>
      <w:tabs>
        <w:tab w:val="center" w:pos="4680"/>
        <w:tab w:val="right" w:pos="9360"/>
      </w:tabs>
      <w:spacing w:after="0" w:line="240" w:lineRule="auto"/>
      <w:jc w:val="center"/>
      <w:rPr>
        <w:rFonts w:ascii="Arial" w:eastAsia="Arial" w:hAnsi="Arial" w:cs="Arial"/>
        <w:color w:val="000000"/>
        <w:sz w:val="20"/>
        <w:szCs w:val="20"/>
      </w:rPr>
    </w:pPr>
    <w:r>
      <w:rPr>
        <w:rFonts w:ascii="Arial" w:eastAsia="Arial" w:hAnsi="Arial" w:cs="Arial"/>
        <w:color w:val="000000"/>
        <w:sz w:val="20"/>
        <w:szCs w:val="20"/>
      </w:rPr>
      <w:t>Instituto de la Educación y del Conocimiento</w:t>
    </w:r>
  </w:p>
  <w:p w14:paraId="1D59EA18" w14:textId="77777777" w:rsidR="00401820" w:rsidRDefault="00000000">
    <w:pPr>
      <w:pBdr>
        <w:top w:val="nil"/>
        <w:left w:val="nil"/>
        <w:bottom w:val="nil"/>
        <w:right w:val="nil"/>
        <w:between w:val="nil"/>
      </w:pBdr>
      <w:tabs>
        <w:tab w:val="center" w:pos="4680"/>
        <w:tab w:val="right" w:pos="9360"/>
      </w:tabs>
      <w:spacing w:after="0" w:line="240" w:lineRule="auto"/>
      <w:jc w:val="center"/>
      <w:rPr>
        <w:rFonts w:ascii="Arial" w:eastAsia="Arial" w:hAnsi="Arial" w:cs="Arial"/>
        <w:color w:val="000000"/>
        <w:sz w:val="20"/>
        <w:szCs w:val="20"/>
      </w:rPr>
    </w:pPr>
    <w:r>
      <w:rPr>
        <w:rFonts w:ascii="Arial" w:eastAsia="Arial" w:hAnsi="Arial" w:cs="Arial"/>
        <w:color w:val="000000"/>
        <w:sz w:val="20"/>
        <w:szCs w:val="20"/>
      </w:rPr>
      <w:t>Universidad Nacional de Tierra del Fuego, Antártida e Islas del Atlántico Sur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C77E94" w14:textId="77777777" w:rsidR="00960542" w:rsidRDefault="00960542">
      <w:pPr>
        <w:spacing w:after="0" w:line="240" w:lineRule="auto"/>
      </w:pPr>
      <w:r>
        <w:separator/>
      </w:r>
    </w:p>
  </w:footnote>
  <w:footnote w:type="continuationSeparator" w:id="0">
    <w:p w14:paraId="4E66C443" w14:textId="77777777" w:rsidR="00960542" w:rsidRDefault="00960542">
      <w:pPr>
        <w:spacing w:after="0" w:line="240" w:lineRule="auto"/>
      </w:pPr>
      <w:r>
        <w:continuationSeparator/>
      </w:r>
    </w:p>
  </w:footnote>
  <w:footnote w:id="1">
    <w:p w14:paraId="6EC65065" w14:textId="77777777" w:rsidR="00401820" w:rsidRDefault="00000000">
      <w:pPr>
        <w:spacing w:after="0" w:line="240" w:lineRule="auto"/>
        <w:rPr>
          <w:rFonts w:ascii="Arial" w:eastAsia="Arial" w:hAnsi="Arial" w:cs="Arial"/>
          <w:sz w:val="20"/>
          <w:szCs w:val="20"/>
        </w:rPr>
      </w:pPr>
      <w:r>
        <w:rPr>
          <w:vertAlign w:val="superscript"/>
        </w:rPr>
        <w:footnoteRef/>
      </w:r>
      <w:r>
        <w:rPr>
          <w:rFonts w:ascii="Arial" w:eastAsia="Arial" w:hAnsi="Arial" w:cs="Arial"/>
          <w:sz w:val="20"/>
          <w:szCs w:val="20"/>
        </w:rPr>
        <w:t xml:space="preserve"> Filiación institucional</w:t>
      </w:r>
    </w:p>
  </w:footnote>
  <w:footnote w:id="2">
    <w:p w14:paraId="490723AF" w14:textId="77777777" w:rsidR="00401820" w:rsidRDefault="00000000">
      <w:pPr>
        <w:spacing w:after="0" w:line="240" w:lineRule="auto"/>
        <w:rPr>
          <w:rFonts w:ascii="Arial" w:eastAsia="Arial" w:hAnsi="Arial" w:cs="Arial"/>
          <w:sz w:val="20"/>
          <w:szCs w:val="20"/>
        </w:rPr>
      </w:pPr>
      <w:r>
        <w:rPr>
          <w:vertAlign w:val="superscript"/>
        </w:rPr>
        <w:footnoteRef/>
      </w:r>
      <w:r>
        <w:rPr>
          <w:rFonts w:ascii="Arial" w:eastAsia="Arial" w:hAnsi="Arial" w:cs="Arial"/>
          <w:sz w:val="20"/>
          <w:szCs w:val="20"/>
        </w:rPr>
        <w:t xml:space="preserve"> Filiación institucional</w:t>
      </w:r>
    </w:p>
  </w:footnote>
  <w:footnote w:id="3">
    <w:p w14:paraId="31F0C71E" w14:textId="77777777" w:rsidR="00401820" w:rsidRDefault="00000000">
      <w:pPr>
        <w:spacing w:after="0" w:line="240" w:lineRule="auto"/>
        <w:rPr>
          <w:rFonts w:ascii="Arial" w:eastAsia="Arial" w:hAnsi="Arial" w:cs="Arial"/>
          <w:sz w:val="20"/>
          <w:szCs w:val="20"/>
        </w:rPr>
      </w:pPr>
      <w:r>
        <w:rPr>
          <w:vertAlign w:val="superscript"/>
        </w:rPr>
        <w:footnoteRef/>
      </w:r>
      <w:r>
        <w:rPr>
          <w:rFonts w:ascii="Arial" w:eastAsia="Arial" w:hAnsi="Arial" w:cs="Arial"/>
          <w:sz w:val="20"/>
          <w:szCs w:val="20"/>
        </w:rPr>
        <w:t xml:space="preserve"> Filiación institucional</w:t>
      </w:r>
    </w:p>
    <w:p w14:paraId="7D139BDE" w14:textId="77777777" w:rsidR="00401820" w:rsidRDefault="00401820">
      <w:pPr>
        <w:pBdr>
          <w:top w:val="nil"/>
          <w:left w:val="nil"/>
          <w:bottom w:val="nil"/>
          <w:right w:val="nil"/>
          <w:between w:val="nil"/>
        </w:pBdr>
        <w:spacing w:after="0" w:line="240" w:lineRule="auto"/>
        <w:rPr>
          <w:color w:val="000000"/>
          <w:sz w:val="20"/>
          <w:szCs w:val="20"/>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FF61D" w14:textId="77777777" w:rsidR="00401820" w:rsidRDefault="00401820">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F508FE"/>
    <w:multiLevelType w:val="multilevel"/>
    <w:tmpl w:val="33EC6910"/>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2108650389">
    <w:abstractNumId w:val="0"/>
  </w:num>
  <w:num w:numId="2" w16cid:durableId="181845119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435564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208675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5275669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9533055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1820"/>
    <w:rsid w:val="00401820"/>
    <w:rsid w:val="00424057"/>
    <w:rsid w:val="00960542"/>
    <w:rsid w:val="00A80014"/>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E09FE6"/>
  <w15:docId w15:val="{04BD241B-A4A1-4AD9-9432-894984CC85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2"/>
        <w:szCs w:val="22"/>
        <w:lang w:val="es-AR" w:eastAsia="es-A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0"/>
      <w:outlineLvl w:val="0"/>
    </w:pPr>
    <w:rPr>
      <w:rFonts w:ascii="Calibri" w:eastAsia="Calibri" w:hAnsi="Calibri" w:cs="Calibri"/>
      <w:b/>
      <w:bCs/>
      <w:color w:val="366091"/>
      <w:sz w:val="28"/>
      <w:szCs w:val="28"/>
    </w:rPr>
  </w:style>
  <w:style w:type="paragraph" w:styleId="Heading2">
    <w:name w:val="heading 2"/>
    <w:basedOn w:val="Normal"/>
    <w:next w:val="Normal"/>
    <w:uiPriority w:val="9"/>
    <w:unhideWhenUsed/>
    <w:qFormat/>
    <w:pPr>
      <w:keepNext/>
      <w:keepLines/>
      <w:spacing w:before="200" w:after="0"/>
      <w:outlineLvl w:val="1"/>
    </w:pPr>
    <w:rPr>
      <w:rFonts w:ascii="Calibri" w:eastAsia="Calibri" w:hAnsi="Calibri" w:cs="Calibri"/>
      <w:b/>
      <w:bCs/>
      <w:color w:val="4F81BD"/>
      <w:sz w:val="26"/>
      <w:szCs w:val="26"/>
    </w:rPr>
  </w:style>
  <w:style w:type="paragraph" w:styleId="Heading3">
    <w:name w:val="heading 3"/>
    <w:basedOn w:val="Normal"/>
    <w:next w:val="Normal"/>
    <w:uiPriority w:val="9"/>
    <w:semiHidden/>
    <w:unhideWhenUsed/>
    <w:qFormat/>
    <w:pPr>
      <w:keepNext/>
      <w:keepLines/>
      <w:spacing w:before="200" w:after="0"/>
      <w:outlineLvl w:val="2"/>
    </w:pPr>
    <w:rPr>
      <w:rFonts w:ascii="Calibri" w:eastAsia="Calibri" w:hAnsi="Calibri" w:cs="Calibri"/>
      <w:b/>
      <w:bCs/>
      <w:color w:val="4F81BD"/>
    </w:rPr>
  </w:style>
  <w:style w:type="paragraph" w:styleId="Heading4">
    <w:name w:val="heading 4"/>
    <w:basedOn w:val="Normal"/>
    <w:next w:val="Normal"/>
    <w:uiPriority w:val="9"/>
    <w:semiHidden/>
    <w:unhideWhenUsed/>
    <w:qFormat/>
    <w:pPr>
      <w:keepNext/>
      <w:keepLines/>
      <w:spacing w:before="200" w:after="0"/>
      <w:outlineLvl w:val="3"/>
    </w:pPr>
    <w:rPr>
      <w:rFonts w:ascii="Calibri" w:eastAsia="Calibri" w:hAnsi="Calibri" w:cs="Calibri"/>
      <w:b/>
      <w:bCs/>
      <w:i/>
      <w:iCs/>
      <w:color w:val="4F81BD"/>
    </w:rPr>
  </w:style>
  <w:style w:type="paragraph" w:styleId="Heading5">
    <w:name w:val="heading 5"/>
    <w:basedOn w:val="Normal"/>
    <w:next w:val="Normal"/>
    <w:uiPriority w:val="9"/>
    <w:semiHidden/>
    <w:unhideWhenUsed/>
    <w:qFormat/>
    <w:pPr>
      <w:keepNext/>
      <w:keepLines/>
      <w:spacing w:before="200" w:after="0"/>
      <w:outlineLvl w:val="4"/>
    </w:pPr>
    <w:rPr>
      <w:rFonts w:ascii="Calibri" w:eastAsia="Calibri" w:hAnsi="Calibri" w:cs="Calibri"/>
      <w:color w:val="243F61"/>
    </w:rPr>
  </w:style>
  <w:style w:type="paragraph" w:styleId="Heading6">
    <w:name w:val="heading 6"/>
    <w:basedOn w:val="Normal"/>
    <w:next w:val="Normal"/>
    <w:uiPriority w:val="9"/>
    <w:semiHidden/>
    <w:unhideWhenUsed/>
    <w:qFormat/>
    <w:pPr>
      <w:keepNext/>
      <w:keepLines/>
      <w:spacing w:before="200" w:after="0"/>
      <w:outlineLvl w:val="5"/>
    </w:pPr>
    <w:rPr>
      <w:rFonts w:ascii="Calibri" w:eastAsia="Calibri" w:hAnsi="Calibri" w:cs="Calibri"/>
      <w:i/>
      <w:iCs/>
      <w:color w:val="243F61"/>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bottom w:val="single" w:sz="8" w:space="4" w:color="4F81BD"/>
      </w:pBdr>
      <w:spacing w:after="300" w:line="240" w:lineRule="auto"/>
    </w:pPr>
    <w:rPr>
      <w:rFonts w:ascii="Calibri" w:eastAsia="Calibri" w:hAnsi="Calibri" w:cs="Calibri"/>
      <w:color w:val="17365D"/>
      <w:sz w:val="52"/>
      <w:szCs w:val="5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Ttulo1Car">
    <w:name w:val="Título 1 Car"/>
    <w:basedOn w:val="DefaultParagraphFont"/>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DefaultParagraphFont"/>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DefaultParagraphFont"/>
    <w:uiPriority w:val="9"/>
    <w:rsid w:val="00FC693F"/>
    <w:rPr>
      <w:rFonts w:asciiTheme="majorHAnsi" w:eastAsiaTheme="majorEastAsia" w:hAnsiTheme="majorHAnsi" w:cstheme="majorBidi"/>
      <w:b/>
      <w:bCs/>
      <w:color w:val="4F81BD" w:themeColor="accent1"/>
    </w:rPr>
  </w:style>
  <w:style w:type="character" w:customStyle="1" w:styleId="TtuloCar">
    <w:name w:val="Título Car"/>
    <w:basedOn w:val="DefaultParagraphFont"/>
    <w:uiPriority w:val="10"/>
    <w:rsid w:val="00FC693F"/>
    <w:rPr>
      <w:rFonts w:asciiTheme="majorHAnsi" w:eastAsiaTheme="majorEastAsia" w:hAnsiTheme="majorHAnsi" w:cstheme="majorBidi"/>
      <w:color w:val="17365D" w:themeColor="text2" w:themeShade="BF"/>
      <w:spacing w:val="5"/>
      <w:kern w:val="28"/>
      <w:sz w:val="52"/>
      <w:szCs w:val="52"/>
    </w:rPr>
  </w:style>
  <w:style w:type="character" w:customStyle="1" w:styleId="SubttuloCar">
    <w:name w:val="Subtítulo Car"/>
    <w:basedOn w:val="DefaultParagraphFont"/>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Ttulo4Car">
    <w:name w:val="Título 4 Car"/>
    <w:basedOn w:val="DefaultParagraphFont"/>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DefaultParagraphFont"/>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DefaultParagraphFont"/>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next w:val="Normal"/>
    <w:uiPriority w:val="39"/>
    <w:semiHidden/>
    <w:unhideWhenUsed/>
    <w:qFormat/>
    <w:rsid w:val="00FC693F"/>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FootnoteText">
    <w:name w:val="footnote text"/>
    <w:basedOn w:val="Normal"/>
    <w:link w:val="FootnoteTextChar"/>
    <w:uiPriority w:val="99"/>
    <w:semiHidden/>
    <w:unhideWhenUsed/>
    <w:rsid w:val="00414A0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14A02"/>
    <w:rPr>
      <w:sz w:val="20"/>
      <w:szCs w:val="20"/>
    </w:rPr>
  </w:style>
  <w:style w:type="character" w:styleId="FootnoteReference">
    <w:name w:val="footnote reference"/>
    <w:basedOn w:val="DefaultParagraphFont"/>
    <w:uiPriority w:val="99"/>
    <w:semiHidden/>
    <w:unhideWhenUsed/>
    <w:rsid w:val="00414A02"/>
    <w:rPr>
      <w:vertAlign w:val="superscript"/>
    </w:rPr>
  </w:style>
  <w:style w:type="paragraph" w:styleId="Subtitle">
    <w:name w:val="Subtitle"/>
    <w:basedOn w:val="Normal"/>
    <w:next w:val="Normal"/>
    <w:uiPriority w:val="11"/>
    <w:qFormat/>
    <w:rPr>
      <w:rFonts w:ascii="Calibri" w:eastAsia="Calibri" w:hAnsi="Calibri" w:cs="Calibri"/>
      <w:i/>
      <w:iCs/>
      <w:color w:val="4F81B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youtube.com/watch?v=zG4PmfAhQG8" TargetMode="External"/><Relationship Id="rId4" Type="http://schemas.openxmlformats.org/officeDocument/2006/relationships/settings" Target="settings.xml"/><Relationship Id="rId9" Type="http://schemas.openxmlformats.org/officeDocument/2006/relationships/hyperlink" Target="http://www.scielo.org.ar/scielo.php?script=sci_arttext&amp;pid=S1668-80902020000100004&amp;lng=es&amp;tlng=es"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JfrmDEE7lL3KUwNEv6O1p4mzwbQ==">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1920</Words>
  <Characters>10560</Characters>
  <Application>Microsoft Office Word</Application>
  <DocSecurity>0</DocSecurity>
  <Lines>88</Lines>
  <Paragraphs>24</Paragraphs>
  <ScaleCrop>false</ScaleCrop>
  <Company/>
  <LinksUpToDate>false</LinksUpToDate>
  <CharactersWithSpaces>12456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cp:lastModifiedBy>facundo olmedo</cp:lastModifiedBy>
  <cp:revision>2</cp:revision>
  <dcterms:created xsi:type="dcterms:W3CDTF">2026-02-16T13:37:00Z</dcterms:created>
  <dcterms:modified xsi:type="dcterms:W3CDTF">2026-05-11T19:44:00Z</dcterms:modified>
</cp:coreProperties>
</file>