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DEFDB" w14:textId="77777777" w:rsidR="00351F0F" w:rsidRDefault="00351F0F">
      <w:pPr>
        <w:spacing w:line="360" w:lineRule="auto"/>
        <w:jc w:val="center"/>
        <w:rPr>
          <w:rFonts w:ascii="Arial" w:eastAsia="Arial" w:hAnsi="Arial" w:cs="Arial"/>
          <w:b/>
          <w:bCs/>
          <w:sz w:val="28"/>
          <w:szCs w:val="28"/>
        </w:rPr>
      </w:pPr>
    </w:p>
    <w:p w14:paraId="24A75FD4" w14:textId="77777777" w:rsidR="00351F0F" w:rsidRDefault="00351F0F">
      <w:pPr>
        <w:spacing w:line="360" w:lineRule="auto"/>
        <w:jc w:val="center"/>
        <w:rPr>
          <w:rFonts w:ascii="Arial" w:eastAsia="Arial" w:hAnsi="Arial" w:cs="Arial"/>
          <w:b/>
          <w:bCs/>
          <w:sz w:val="28"/>
          <w:szCs w:val="28"/>
        </w:rPr>
      </w:pPr>
    </w:p>
    <w:p w14:paraId="0C4D5F91" w14:textId="3593A558" w:rsidR="0073272A" w:rsidRDefault="0073272A">
      <w:pPr>
        <w:spacing w:line="360" w:lineRule="auto"/>
        <w:jc w:val="center"/>
        <w:rPr>
          <w:rFonts w:ascii="Arial" w:eastAsia="Arial" w:hAnsi="Arial" w:cs="Arial"/>
          <w:b/>
          <w:bCs/>
          <w:sz w:val="28"/>
          <w:szCs w:val="28"/>
        </w:rPr>
      </w:pPr>
      <w:r w:rsidRPr="0073272A">
        <w:rPr>
          <w:rFonts w:ascii="Arial" w:eastAsia="Arial" w:hAnsi="Arial" w:cs="Arial"/>
          <w:b/>
          <w:bCs/>
          <w:sz w:val="28"/>
          <w:szCs w:val="28"/>
        </w:rPr>
        <w:t xml:space="preserve">ALFABETIZACIÓN ACADÉMICA Y COMUNICACIÓN CIENTÍFICA BILINGÜE EN LA FORMACIÓN UNIVERSITARIA: UN DISPOSITIVO INSTITUCIONAL </w:t>
      </w:r>
    </w:p>
    <w:p w14:paraId="06D06509" w14:textId="77777777" w:rsidR="0073272A" w:rsidRPr="00D92A72" w:rsidRDefault="0073272A" w:rsidP="0073272A">
      <w:pPr>
        <w:spacing w:line="360" w:lineRule="auto"/>
        <w:jc w:val="center"/>
        <w:rPr>
          <w:rFonts w:ascii="Arial" w:eastAsia="Arial" w:hAnsi="Arial" w:cs="Arial"/>
          <w:b/>
          <w:bCs/>
          <w:sz w:val="28"/>
          <w:szCs w:val="28"/>
          <w:lang w:val="en-GB"/>
        </w:rPr>
      </w:pPr>
      <w:r w:rsidRPr="00D92A72">
        <w:rPr>
          <w:rFonts w:ascii="Arial" w:eastAsia="Arial" w:hAnsi="Arial" w:cs="Arial"/>
          <w:b/>
          <w:bCs/>
          <w:sz w:val="28"/>
          <w:szCs w:val="28"/>
          <w:lang w:val="en-GB"/>
        </w:rPr>
        <w:t>ACADEMIC LITERACY AND BILINGUAL SCIENTIFIC COMMUNICATION IN HIGHER EDUCATION: AN INSTITUTIONAL MODEL</w:t>
      </w:r>
    </w:p>
    <w:p w14:paraId="4AE82B91" w14:textId="77777777" w:rsidR="0073272A" w:rsidRDefault="0073272A" w:rsidP="0073272A">
      <w:pPr>
        <w:spacing w:line="360" w:lineRule="auto"/>
        <w:jc w:val="center"/>
        <w:rPr>
          <w:rFonts w:ascii="Arial" w:eastAsia="Arial" w:hAnsi="Arial" w:cs="Arial"/>
          <w:b/>
          <w:bCs/>
          <w:sz w:val="28"/>
          <w:szCs w:val="28"/>
        </w:rPr>
      </w:pPr>
      <w:r w:rsidRPr="0073272A">
        <w:rPr>
          <w:rFonts w:ascii="Arial" w:eastAsia="Arial" w:hAnsi="Arial" w:cs="Arial"/>
          <w:b/>
          <w:bCs/>
          <w:sz w:val="28"/>
          <w:szCs w:val="28"/>
        </w:rPr>
        <w:t xml:space="preserve">ALFABETIZAÇÃO ACADÊMICA E COMUNICAÇÃO CIENTÍFICA BILÍNGUE NA FORMAÇÃO UNIVERSITÁRIA </w:t>
      </w:r>
    </w:p>
    <w:p w14:paraId="70564B6B" w14:textId="6D6B5D53" w:rsidR="00351F0F" w:rsidRDefault="006B5AB9" w:rsidP="0073272A">
      <w:pPr>
        <w:spacing w:line="360" w:lineRule="auto"/>
        <w:jc w:val="center"/>
      </w:pPr>
      <w:r>
        <w:rPr>
          <w:highlight w:val="yellow"/>
        </w:rPr>
        <w:t>Autor 1</w:t>
      </w:r>
      <w:r>
        <w:rPr>
          <w:highlight w:val="yellow"/>
          <w:vertAlign w:val="superscript"/>
        </w:rPr>
        <w:footnoteReference w:id="1"/>
      </w:r>
      <w:r>
        <w:rPr>
          <w:highlight w:val="yellow"/>
        </w:rPr>
        <w:t>, Autor 2</w:t>
      </w:r>
      <w:r>
        <w:rPr>
          <w:highlight w:val="yellow"/>
          <w:vertAlign w:val="superscript"/>
        </w:rPr>
        <w:footnoteReference w:id="2"/>
      </w:r>
      <w:r>
        <w:rPr>
          <w:highlight w:val="yellow"/>
        </w:rPr>
        <w:t>, Autor 3</w:t>
      </w:r>
      <w:r>
        <w:rPr>
          <w:highlight w:val="yellow"/>
          <w:vertAlign w:val="superscript"/>
        </w:rPr>
        <w:footnoteReference w:id="3"/>
      </w:r>
      <w:r>
        <w:t xml:space="preserve"> </w:t>
      </w:r>
    </w:p>
    <w:p w14:paraId="39983F9B" w14:textId="77777777" w:rsidR="00351F0F" w:rsidRDefault="006B5AB9">
      <w:pPr>
        <w:spacing w:line="360" w:lineRule="auto"/>
        <w:jc w:val="center"/>
      </w:pPr>
      <w:r>
        <w:rPr>
          <w:highlight w:val="yellow"/>
        </w:rPr>
        <w:t>No colocar los datos de los autores para garantizar la evaluación a doble ciego</w:t>
      </w:r>
    </w:p>
    <w:p w14:paraId="20CD0157" w14:textId="4DC0E15D" w:rsidR="00351F0F" w:rsidRDefault="006B5AB9">
      <w:pPr>
        <w:spacing w:line="360" w:lineRule="auto"/>
      </w:pPr>
      <w:r>
        <w:rPr>
          <w:rFonts w:ascii="Arial" w:eastAsia="Arial" w:hAnsi="Arial" w:cs="Arial"/>
        </w:rPr>
        <w:t>Palabras clave:</w:t>
      </w:r>
      <w:r w:rsidR="0073272A">
        <w:rPr>
          <w:rFonts w:ascii="Arial" w:eastAsia="Arial" w:hAnsi="Arial" w:cs="Arial"/>
        </w:rPr>
        <w:t xml:space="preserve"> </w:t>
      </w:r>
      <w:r w:rsidR="0073272A" w:rsidRPr="0073272A">
        <w:rPr>
          <w:rFonts w:ascii="Arial" w:eastAsia="Arial" w:hAnsi="Arial" w:cs="Arial"/>
        </w:rPr>
        <w:t>alfabetización académica; inglés con propósitos específicos; educación superior.</w:t>
      </w:r>
    </w:p>
    <w:p w14:paraId="73B92CE3" w14:textId="37B58413" w:rsidR="00351F0F" w:rsidRPr="00D92A72" w:rsidRDefault="006B5AB9">
      <w:pPr>
        <w:spacing w:line="360" w:lineRule="auto"/>
        <w:rPr>
          <w:lang w:val="en-GB"/>
        </w:rPr>
      </w:pPr>
      <w:r w:rsidRPr="00D92A72">
        <w:rPr>
          <w:rFonts w:ascii="Arial" w:eastAsia="Arial" w:hAnsi="Arial" w:cs="Arial"/>
          <w:lang w:val="en-GB"/>
        </w:rPr>
        <w:t xml:space="preserve">Keywords: </w:t>
      </w:r>
      <w:r w:rsidR="0073272A" w:rsidRPr="00D92A72">
        <w:rPr>
          <w:rFonts w:ascii="Arial" w:eastAsia="Arial" w:hAnsi="Arial" w:cs="Arial"/>
          <w:lang w:val="en-GB"/>
        </w:rPr>
        <w:t>academic literacy; ESP; higher education</w:t>
      </w:r>
      <w:r w:rsidRPr="00D92A72">
        <w:rPr>
          <w:rFonts w:ascii="Arial" w:eastAsia="Arial" w:hAnsi="Arial" w:cs="Arial"/>
          <w:lang w:val="en-GB"/>
        </w:rPr>
        <w:t>.</w:t>
      </w:r>
    </w:p>
    <w:p w14:paraId="21FBE8D8" w14:textId="73BEF3B3" w:rsidR="00351F0F" w:rsidRDefault="006B5AB9">
      <w:pPr>
        <w:spacing w:line="360" w:lineRule="auto"/>
      </w:pPr>
      <w:proofErr w:type="spellStart"/>
      <w:r>
        <w:rPr>
          <w:rFonts w:ascii="Arial" w:eastAsia="Arial" w:hAnsi="Arial" w:cs="Arial"/>
        </w:rPr>
        <w:t>Palavras</w:t>
      </w:r>
      <w:proofErr w:type="spellEnd"/>
      <w:r>
        <w:rPr>
          <w:rFonts w:ascii="Arial" w:eastAsia="Arial" w:hAnsi="Arial" w:cs="Arial"/>
        </w:rPr>
        <w:t xml:space="preserve">-chave: </w:t>
      </w:r>
      <w:proofErr w:type="spellStart"/>
      <w:r w:rsidR="0073272A" w:rsidRPr="0073272A">
        <w:rPr>
          <w:rFonts w:ascii="Arial" w:eastAsia="Arial" w:hAnsi="Arial" w:cs="Arial"/>
        </w:rPr>
        <w:t>alfabetização</w:t>
      </w:r>
      <w:proofErr w:type="spellEnd"/>
      <w:r w:rsidR="0073272A" w:rsidRPr="0073272A">
        <w:rPr>
          <w:rFonts w:ascii="Arial" w:eastAsia="Arial" w:hAnsi="Arial" w:cs="Arial"/>
        </w:rPr>
        <w:t xml:space="preserve"> </w:t>
      </w:r>
      <w:proofErr w:type="spellStart"/>
      <w:r w:rsidR="0073272A" w:rsidRPr="0073272A">
        <w:rPr>
          <w:rFonts w:ascii="Arial" w:eastAsia="Arial" w:hAnsi="Arial" w:cs="Arial"/>
        </w:rPr>
        <w:t>acadêmica</w:t>
      </w:r>
      <w:proofErr w:type="spellEnd"/>
      <w:r w:rsidR="0073272A" w:rsidRPr="0073272A">
        <w:rPr>
          <w:rFonts w:ascii="Arial" w:eastAsia="Arial" w:hAnsi="Arial" w:cs="Arial"/>
        </w:rPr>
        <w:t xml:space="preserve">; </w:t>
      </w:r>
      <w:proofErr w:type="spellStart"/>
      <w:r w:rsidR="0073272A" w:rsidRPr="0073272A">
        <w:rPr>
          <w:rFonts w:ascii="Arial" w:eastAsia="Arial" w:hAnsi="Arial" w:cs="Arial"/>
        </w:rPr>
        <w:t>inglês</w:t>
      </w:r>
      <w:proofErr w:type="spellEnd"/>
      <w:r w:rsidR="0073272A" w:rsidRPr="0073272A">
        <w:rPr>
          <w:rFonts w:ascii="Arial" w:eastAsia="Arial" w:hAnsi="Arial" w:cs="Arial"/>
        </w:rPr>
        <w:t xml:space="preserve"> para </w:t>
      </w:r>
      <w:proofErr w:type="spellStart"/>
      <w:r w:rsidR="0073272A" w:rsidRPr="0073272A">
        <w:rPr>
          <w:rFonts w:ascii="Arial" w:eastAsia="Arial" w:hAnsi="Arial" w:cs="Arial"/>
        </w:rPr>
        <w:t>fins</w:t>
      </w:r>
      <w:proofErr w:type="spellEnd"/>
      <w:r w:rsidR="0073272A" w:rsidRPr="0073272A">
        <w:rPr>
          <w:rFonts w:ascii="Arial" w:eastAsia="Arial" w:hAnsi="Arial" w:cs="Arial"/>
        </w:rPr>
        <w:t xml:space="preserve"> específicos; </w:t>
      </w:r>
      <w:proofErr w:type="spellStart"/>
      <w:r w:rsidR="0073272A" w:rsidRPr="0073272A">
        <w:rPr>
          <w:rFonts w:ascii="Arial" w:eastAsia="Arial" w:hAnsi="Arial" w:cs="Arial"/>
        </w:rPr>
        <w:t>ensino</w:t>
      </w:r>
      <w:proofErr w:type="spellEnd"/>
      <w:r w:rsidR="0073272A" w:rsidRPr="0073272A">
        <w:rPr>
          <w:rFonts w:ascii="Arial" w:eastAsia="Arial" w:hAnsi="Arial" w:cs="Arial"/>
        </w:rPr>
        <w:t xml:space="preserve"> superior</w:t>
      </w:r>
      <w:r>
        <w:rPr>
          <w:rFonts w:ascii="Arial" w:eastAsia="Arial" w:hAnsi="Arial" w:cs="Arial"/>
        </w:rPr>
        <w:t>.</w:t>
      </w:r>
    </w:p>
    <w:p w14:paraId="58205AFE" w14:textId="0969B8CD" w:rsidR="00351F0F" w:rsidRDefault="006B5AB9">
      <w:pPr>
        <w:spacing w:line="360" w:lineRule="auto"/>
        <w:rPr>
          <w:rFonts w:ascii="Arial" w:eastAsia="Arial" w:hAnsi="Arial" w:cs="Arial"/>
          <w:b/>
          <w:bCs/>
          <w:sz w:val="24"/>
          <w:szCs w:val="24"/>
          <w:highlight w:val="yellow"/>
        </w:rPr>
      </w:pPr>
      <w:r>
        <w:rPr>
          <w:rFonts w:ascii="Arial" w:eastAsia="Arial" w:hAnsi="Arial" w:cs="Arial"/>
          <w:b/>
          <w:bCs/>
          <w:sz w:val="24"/>
          <w:szCs w:val="24"/>
        </w:rPr>
        <w:t>MODALIDAD: Virtual</w:t>
      </w:r>
    </w:p>
    <w:p w14:paraId="6C4FA8C6" w14:textId="76F40E6C" w:rsidR="00351F0F" w:rsidRDefault="006B5AB9">
      <w:pPr>
        <w:spacing w:line="360" w:lineRule="auto"/>
      </w:pPr>
      <w:r>
        <w:rPr>
          <w:rFonts w:ascii="Arial" w:eastAsia="Arial" w:hAnsi="Arial" w:cs="Arial"/>
          <w:b/>
          <w:bCs/>
          <w:sz w:val="24"/>
          <w:szCs w:val="24"/>
        </w:rPr>
        <w:t>RESUMEN EXTENDIDO</w:t>
      </w:r>
    </w:p>
    <w:p w14:paraId="78D1BA91" w14:textId="77777777" w:rsidR="0073272A" w:rsidRPr="0073272A" w:rsidRDefault="0073272A" w:rsidP="0073272A">
      <w:pPr>
        <w:spacing w:line="360" w:lineRule="auto"/>
        <w:jc w:val="both"/>
        <w:rPr>
          <w:rFonts w:ascii="Arial" w:eastAsia="Arial" w:hAnsi="Arial" w:cs="Arial"/>
          <w:b/>
          <w:bCs/>
          <w:sz w:val="24"/>
          <w:szCs w:val="24"/>
        </w:rPr>
      </w:pPr>
      <w:r w:rsidRPr="0073272A">
        <w:rPr>
          <w:rFonts w:ascii="Arial" w:eastAsia="Arial" w:hAnsi="Arial" w:cs="Arial"/>
          <w:b/>
          <w:bCs/>
          <w:sz w:val="24"/>
          <w:szCs w:val="24"/>
        </w:rPr>
        <w:t>Introducción</w:t>
      </w:r>
    </w:p>
    <w:p w14:paraId="1D56BC0A" w14:textId="77777777" w:rsidR="0073272A" w:rsidRDefault="0073272A" w:rsidP="0073272A">
      <w:pPr>
        <w:spacing w:line="360" w:lineRule="auto"/>
        <w:jc w:val="both"/>
        <w:rPr>
          <w:rFonts w:ascii="Arial" w:eastAsia="Arial" w:hAnsi="Arial" w:cs="Arial"/>
          <w:sz w:val="24"/>
          <w:szCs w:val="24"/>
        </w:rPr>
      </w:pPr>
    </w:p>
    <w:p w14:paraId="63858640" w14:textId="77777777" w:rsidR="0073272A" w:rsidRDefault="0073272A" w:rsidP="0073272A">
      <w:pPr>
        <w:spacing w:line="360" w:lineRule="auto"/>
        <w:jc w:val="both"/>
        <w:rPr>
          <w:rFonts w:ascii="Arial" w:eastAsia="Arial" w:hAnsi="Arial" w:cs="Arial"/>
          <w:sz w:val="24"/>
          <w:szCs w:val="24"/>
        </w:rPr>
      </w:pPr>
    </w:p>
    <w:p w14:paraId="7E088A3E" w14:textId="77777777" w:rsidR="0073272A" w:rsidRDefault="0073272A" w:rsidP="0073272A">
      <w:pPr>
        <w:spacing w:line="360" w:lineRule="auto"/>
        <w:jc w:val="both"/>
        <w:rPr>
          <w:rFonts w:ascii="Arial" w:eastAsia="Arial" w:hAnsi="Arial" w:cs="Arial"/>
          <w:sz w:val="24"/>
          <w:szCs w:val="24"/>
        </w:rPr>
      </w:pPr>
    </w:p>
    <w:p w14:paraId="20EF57AC" w14:textId="147C424F"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En el marco de los debates contemporáneos sobre educación superior, inclusión y democratización del conocimiento, las prácticas letradas han adquirido una centralidad creciente en la formación universitaria. En contextos de expansión del sistema educativo y diversificación de las trayectorias estudiantiles, garantizar el acceso efectivo a la cultura escrita y a las formas de comunicación propias de las disciplinas constituye un desafío clave en términos de derecho a la educación. En este sentido, la alfabetización académica se posiciona como una dimensión fundamental para la participación plena de estudiantes y docentes en comunidades científicas y profesionales (</w:t>
      </w:r>
      <w:proofErr w:type="spellStart"/>
      <w:r w:rsidRPr="0073272A">
        <w:rPr>
          <w:rFonts w:ascii="Arial" w:eastAsia="Arial" w:hAnsi="Arial" w:cs="Arial"/>
          <w:sz w:val="24"/>
          <w:szCs w:val="24"/>
        </w:rPr>
        <w:t>Carlino</w:t>
      </w:r>
      <w:proofErr w:type="spellEnd"/>
      <w:r w:rsidRPr="0073272A">
        <w:rPr>
          <w:rFonts w:ascii="Arial" w:eastAsia="Arial" w:hAnsi="Arial" w:cs="Arial"/>
          <w:sz w:val="24"/>
          <w:szCs w:val="24"/>
        </w:rPr>
        <w:t>, 2004, 2013).</w:t>
      </w:r>
    </w:p>
    <w:p w14:paraId="190312DD" w14:textId="6D7C2083"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Este trabajo presenta un programa institucional de prácticas de comunicación académica</w:t>
      </w:r>
      <w:r w:rsidR="00AE5867">
        <w:rPr>
          <w:rFonts w:ascii="Arial" w:eastAsia="Arial" w:hAnsi="Arial" w:cs="Arial"/>
          <w:sz w:val="24"/>
          <w:szCs w:val="24"/>
        </w:rPr>
        <w:t xml:space="preserve"> (PROCOA)</w:t>
      </w:r>
      <w:r w:rsidRPr="0073272A">
        <w:rPr>
          <w:rFonts w:ascii="Arial" w:eastAsia="Arial" w:hAnsi="Arial" w:cs="Arial"/>
          <w:sz w:val="24"/>
          <w:szCs w:val="24"/>
        </w:rPr>
        <w:t>, implementado en una facultad de ciencias veterinarias de una universidad pública argentina, como un dispositivo orientado a integrar la enseñanza de la lectura, la escritura y la oralidad académica en español e inglés a lo largo de la formación de grado, posgrado, investigación y vinculación. Se propone analizar su diseño, implementación y alcances en relación con los desafíos actuales de la educación superior y su compromiso con la ampliación de derechos.</w:t>
      </w:r>
    </w:p>
    <w:p w14:paraId="25F776A9" w14:textId="77777777" w:rsidR="0073272A" w:rsidRPr="0073272A" w:rsidRDefault="0073272A" w:rsidP="0073272A">
      <w:pPr>
        <w:spacing w:line="360" w:lineRule="auto"/>
        <w:jc w:val="both"/>
        <w:rPr>
          <w:rFonts w:ascii="Arial" w:eastAsia="Arial" w:hAnsi="Arial" w:cs="Arial"/>
          <w:b/>
          <w:bCs/>
          <w:sz w:val="24"/>
          <w:szCs w:val="24"/>
        </w:rPr>
      </w:pPr>
      <w:r w:rsidRPr="0073272A">
        <w:rPr>
          <w:rFonts w:ascii="Arial" w:eastAsia="Arial" w:hAnsi="Arial" w:cs="Arial"/>
          <w:b/>
          <w:bCs/>
          <w:sz w:val="24"/>
          <w:szCs w:val="24"/>
        </w:rPr>
        <w:t>Marco teórico</w:t>
      </w:r>
    </w:p>
    <w:p w14:paraId="21900B16" w14:textId="24B36BAD"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El enfoque adoptado se inscribe en la perspectiva de la alfabetización académica, entendida como un proceso de incorporación progresiva a las prácticas discursivas propias de cada campo del saber (</w:t>
      </w:r>
      <w:proofErr w:type="spellStart"/>
      <w:r w:rsidRPr="0073272A">
        <w:rPr>
          <w:rFonts w:ascii="Arial" w:eastAsia="Arial" w:hAnsi="Arial" w:cs="Arial"/>
          <w:sz w:val="24"/>
          <w:szCs w:val="24"/>
        </w:rPr>
        <w:t>Carlino</w:t>
      </w:r>
      <w:proofErr w:type="spellEnd"/>
      <w:r w:rsidRPr="0073272A">
        <w:rPr>
          <w:rFonts w:ascii="Arial" w:eastAsia="Arial" w:hAnsi="Arial" w:cs="Arial"/>
          <w:sz w:val="24"/>
          <w:szCs w:val="24"/>
        </w:rPr>
        <w:t>, 2004). Desde esta concepción, leer, escribir y hablar en la universidad no constituyen habilidades generales transferibles, sino prácticas situadas que deben ser enseñadas de manera explícita en contextos disciplinares específicos (</w:t>
      </w:r>
      <w:proofErr w:type="spellStart"/>
      <w:r w:rsidRPr="0073272A">
        <w:rPr>
          <w:rFonts w:ascii="Arial" w:eastAsia="Arial" w:hAnsi="Arial" w:cs="Arial"/>
          <w:sz w:val="24"/>
          <w:szCs w:val="24"/>
        </w:rPr>
        <w:t>Hyland</w:t>
      </w:r>
      <w:proofErr w:type="spellEnd"/>
      <w:r w:rsidRPr="0073272A">
        <w:rPr>
          <w:rFonts w:ascii="Arial" w:eastAsia="Arial" w:hAnsi="Arial" w:cs="Arial"/>
          <w:sz w:val="24"/>
          <w:szCs w:val="24"/>
        </w:rPr>
        <w:t>, 2006).</w:t>
      </w:r>
    </w:p>
    <w:p w14:paraId="2E060EBB" w14:textId="2FF05937"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 xml:space="preserve">Asimismo, el trabajo se articula con el enfoque de </w:t>
      </w:r>
      <w:proofErr w:type="gramStart"/>
      <w:r w:rsidRPr="0073272A">
        <w:rPr>
          <w:rFonts w:ascii="Arial" w:eastAsia="Arial" w:hAnsi="Arial" w:cs="Arial"/>
          <w:sz w:val="24"/>
          <w:szCs w:val="24"/>
        </w:rPr>
        <w:t>Inglés</w:t>
      </w:r>
      <w:proofErr w:type="gramEnd"/>
      <w:r w:rsidRPr="0073272A">
        <w:rPr>
          <w:rFonts w:ascii="Arial" w:eastAsia="Arial" w:hAnsi="Arial" w:cs="Arial"/>
          <w:sz w:val="24"/>
          <w:szCs w:val="24"/>
        </w:rPr>
        <w:t xml:space="preserve"> con Propósitos Específicos, que promueve la enseñanza del </w:t>
      </w:r>
      <w:r w:rsidR="00AE5867">
        <w:rPr>
          <w:rFonts w:ascii="Arial" w:eastAsia="Arial" w:hAnsi="Arial" w:cs="Arial"/>
          <w:sz w:val="24"/>
          <w:szCs w:val="24"/>
        </w:rPr>
        <w:t>idioma</w:t>
      </w:r>
      <w:r w:rsidRPr="0073272A">
        <w:rPr>
          <w:rFonts w:ascii="Arial" w:eastAsia="Arial" w:hAnsi="Arial" w:cs="Arial"/>
          <w:sz w:val="24"/>
          <w:szCs w:val="24"/>
        </w:rPr>
        <w:t xml:space="preserve"> en función de las necesidades comunicativas de los estudiantes en sus áreas de especialización (</w:t>
      </w:r>
      <w:proofErr w:type="spellStart"/>
      <w:r w:rsidRPr="0073272A">
        <w:rPr>
          <w:rFonts w:ascii="Arial" w:eastAsia="Arial" w:hAnsi="Arial" w:cs="Arial"/>
          <w:sz w:val="24"/>
          <w:szCs w:val="24"/>
        </w:rPr>
        <w:t>Dudley</w:t>
      </w:r>
      <w:proofErr w:type="spellEnd"/>
      <w:r w:rsidRPr="0073272A">
        <w:rPr>
          <w:rFonts w:ascii="Arial" w:eastAsia="Arial" w:hAnsi="Arial" w:cs="Arial"/>
          <w:sz w:val="24"/>
          <w:szCs w:val="24"/>
        </w:rPr>
        <w:t xml:space="preserve">-Evans </w:t>
      </w:r>
      <w:r w:rsidR="00400F4D">
        <w:rPr>
          <w:rFonts w:ascii="Arial" w:eastAsia="Arial" w:hAnsi="Arial" w:cs="Arial"/>
          <w:sz w:val="24"/>
          <w:szCs w:val="24"/>
        </w:rPr>
        <w:t>y</w:t>
      </w:r>
      <w:r w:rsidRPr="0073272A">
        <w:rPr>
          <w:rFonts w:ascii="Arial" w:eastAsia="Arial" w:hAnsi="Arial" w:cs="Arial"/>
          <w:sz w:val="24"/>
          <w:szCs w:val="24"/>
        </w:rPr>
        <w:t xml:space="preserve"> </w:t>
      </w:r>
      <w:proofErr w:type="spellStart"/>
      <w:r w:rsidRPr="0073272A">
        <w:rPr>
          <w:rFonts w:ascii="Arial" w:eastAsia="Arial" w:hAnsi="Arial" w:cs="Arial"/>
          <w:sz w:val="24"/>
          <w:szCs w:val="24"/>
        </w:rPr>
        <w:t>St</w:t>
      </w:r>
      <w:proofErr w:type="spellEnd"/>
      <w:r w:rsidRPr="0073272A">
        <w:rPr>
          <w:rFonts w:ascii="Arial" w:eastAsia="Arial" w:hAnsi="Arial" w:cs="Arial"/>
          <w:sz w:val="24"/>
          <w:szCs w:val="24"/>
        </w:rPr>
        <w:t xml:space="preserve"> John, 1998). Este enfoque resulta particularmente relevante en un contexto en el que el inglés se ha </w:t>
      </w:r>
      <w:r w:rsidRPr="0073272A">
        <w:rPr>
          <w:rFonts w:ascii="Arial" w:eastAsia="Arial" w:hAnsi="Arial" w:cs="Arial"/>
          <w:sz w:val="24"/>
          <w:szCs w:val="24"/>
        </w:rPr>
        <w:lastRenderedPageBreak/>
        <w:t>consolidado como lengua dominante en la producción y circulación del conocimiento científico, facilitando la participación en redes internacionales, pero también generando tensiones vinculadas a desigualdades de acceso (</w:t>
      </w:r>
      <w:proofErr w:type="spellStart"/>
      <w:r w:rsidR="00AE5867" w:rsidRPr="00AE5867">
        <w:rPr>
          <w:rFonts w:ascii="Arial" w:eastAsia="Arial" w:hAnsi="Arial" w:cs="Arial"/>
          <w:sz w:val="24"/>
          <w:szCs w:val="24"/>
        </w:rPr>
        <w:t>Hamel</w:t>
      </w:r>
      <w:proofErr w:type="spellEnd"/>
      <w:r w:rsidR="00AE5867" w:rsidRPr="00AE5867">
        <w:rPr>
          <w:rFonts w:ascii="Arial" w:eastAsia="Arial" w:hAnsi="Arial" w:cs="Arial"/>
          <w:sz w:val="24"/>
          <w:szCs w:val="24"/>
        </w:rPr>
        <w:t>, 2013</w:t>
      </w:r>
      <w:r w:rsidRPr="0073272A">
        <w:rPr>
          <w:rFonts w:ascii="Arial" w:eastAsia="Arial" w:hAnsi="Arial" w:cs="Arial"/>
          <w:sz w:val="24"/>
          <w:szCs w:val="24"/>
        </w:rPr>
        <w:t>).</w:t>
      </w:r>
    </w:p>
    <w:p w14:paraId="396FD734" w14:textId="0B26017C" w:rsidR="0073272A" w:rsidRPr="0073272A" w:rsidRDefault="0073272A" w:rsidP="001E534A">
      <w:pPr>
        <w:spacing w:line="360" w:lineRule="auto"/>
        <w:jc w:val="both"/>
        <w:rPr>
          <w:rFonts w:ascii="Arial" w:eastAsia="Arial" w:hAnsi="Arial" w:cs="Arial"/>
          <w:sz w:val="24"/>
          <w:szCs w:val="24"/>
        </w:rPr>
      </w:pPr>
      <w:r w:rsidRPr="0073272A">
        <w:rPr>
          <w:rFonts w:ascii="Arial" w:eastAsia="Arial" w:hAnsi="Arial" w:cs="Arial"/>
          <w:sz w:val="24"/>
          <w:szCs w:val="24"/>
        </w:rPr>
        <w:t>A su vez, se recuperan aportes de la enseñanza basada en géneros discursivos (</w:t>
      </w:r>
      <w:proofErr w:type="spellStart"/>
      <w:r w:rsidRPr="0073272A">
        <w:rPr>
          <w:rFonts w:ascii="Arial" w:eastAsia="Arial" w:hAnsi="Arial" w:cs="Arial"/>
          <w:sz w:val="24"/>
          <w:szCs w:val="24"/>
        </w:rPr>
        <w:t>Bhatia</w:t>
      </w:r>
      <w:proofErr w:type="spellEnd"/>
      <w:r w:rsidRPr="0073272A">
        <w:rPr>
          <w:rFonts w:ascii="Arial" w:eastAsia="Arial" w:hAnsi="Arial" w:cs="Arial"/>
          <w:sz w:val="24"/>
          <w:szCs w:val="24"/>
        </w:rPr>
        <w:t>, 2004) y de la Lingüística Sistémico-Funcional (</w:t>
      </w:r>
      <w:proofErr w:type="spellStart"/>
      <w:r w:rsidRPr="0073272A">
        <w:rPr>
          <w:rFonts w:ascii="Arial" w:eastAsia="Arial" w:hAnsi="Arial" w:cs="Arial"/>
          <w:sz w:val="24"/>
          <w:szCs w:val="24"/>
        </w:rPr>
        <w:t>Halliday</w:t>
      </w:r>
      <w:proofErr w:type="spellEnd"/>
      <w:r w:rsidRPr="0073272A">
        <w:rPr>
          <w:rFonts w:ascii="Arial" w:eastAsia="Arial" w:hAnsi="Arial" w:cs="Arial"/>
          <w:sz w:val="24"/>
          <w:szCs w:val="24"/>
        </w:rPr>
        <w:t xml:space="preserve"> </w:t>
      </w:r>
      <w:r w:rsidR="00400F4D">
        <w:rPr>
          <w:rFonts w:ascii="Arial" w:eastAsia="Arial" w:hAnsi="Arial" w:cs="Arial"/>
          <w:sz w:val="24"/>
          <w:szCs w:val="24"/>
        </w:rPr>
        <w:t>y</w:t>
      </w:r>
      <w:r w:rsidRPr="0073272A">
        <w:rPr>
          <w:rFonts w:ascii="Arial" w:eastAsia="Arial" w:hAnsi="Arial" w:cs="Arial"/>
          <w:sz w:val="24"/>
          <w:szCs w:val="24"/>
        </w:rPr>
        <w:t xml:space="preserve"> </w:t>
      </w:r>
      <w:proofErr w:type="spellStart"/>
      <w:r w:rsidRPr="0073272A">
        <w:rPr>
          <w:rFonts w:ascii="Arial" w:eastAsia="Arial" w:hAnsi="Arial" w:cs="Arial"/>
          <w:sz w:val="24"/>
          <w:szCs w:val="24"/>
        </w:rPr>
        <w:t>Matthiessen</w:t>
      </w:r>
      <w:proofErr w:type="spellEnd"/>
      <w:r w:rsidRPr="0073272A">
        <w:rPr>
          <w:rFonts w:ascii="Arial" w:eastAsia="Arial" w:hAnsi="Arial" w:cs="Arial"/>
          <w:sz w:val="24"/>
          <w:szCs w:val="24"/>
        </w:rPr>
        <w:t>, 2014), que permiten comprender la relación entre lenguaje, conocimiento y práctica social. Estas perspectivas destacan la importancia de una enseñanza explícita de los géneros académicos para favorecer la participación en comunidades discursivas.</w:t>
      </w:r>
    </w:p>
    <w:p w14:paraId="129FB35F" w14:textId="331983EB" w:rsidR="0073272A" w:rsidRPr="0073272A" w:rsidRDefault="0073272A" w:rsidP="001E534A">
      <w:pPr>
        <w:spacing w:line="360" w:lineRule="auto"/>
        <w:jc w:val="both"/>
        <w:rPr>
          <w:rFonts w:ascii="Arial" w:eastAsia="Arial" w:hAnsi="Arial" w:cs="Arial"/>
          <w:sz w:val="24"/>
          <w:szCs w:val="24"/>
        </w:rPr>
      </w:pPr>
      <w:r w:rsidRPr="0073272A">
        <w:rPr>
          <w:rFonts w:ascii="Arial" w:eastAsia="Arial" w:hAnsi="Arial" w:cs="Arial"/>
          <w:sz w:val="24"/>
          <w:szCs w:val="24"/>
        </w:rPr>
        <w:t xml:space="preserve">En el contexto de la educación superior argentina, diversas investigaciones han señalado limitaciones en la enseñanza del inglés, tales como su carácter predominantemente instrumental, su escasa articulación con las disciplinas y su ubicación marginal en los planes de estudio (Acosta de Galindo </w:t>
      </w:r>
      <w:r w:rsidR="00400F4D">
        <w:rPr>
          <w:rFonts w:ascii="Arial" w:eastAsia="Arial" w:hAnsi="Arial" w:cs="Arial"/>
          <w:sz w:val="24"/>
          <w:szCs w:val="24"/>
        </w:rPr>
        <w:t>y</w:t>
      </w:r>
      <w:r w:rsidRPr="0073272A">
        <w:rPr>
          <w:rFonts w:ascii="Arial" w:eastAsia="Arial" w:hAnsi="Arial" w:cs="Arial"/>
          <w:sz w:val="24"/>
          <w:szCs w:val="24"/>
        </w:rPr>
        <w:t xml:space="preserve"> </w:t>
      </w:r>
      <w:proofErr w:type="spellStart"/>
      <w:r w:rsidRPr="0073272A">
        <w:rPr>
          <w:rFonts w:ascii="Arial" w:eastAsia="Arial" w:hAnsi="Arial" w:cs="Arial"/>
          <w:sz w:val="24"/>
          <w:szCs w:val="24"/>
        </w:rPr>
        <w:t>Zonana</w:t>
      </w:r>
      <w:proofErr w:type="spellEnd"/>
      <w:r w:rsidRPr="0073272A">
        <w:rPr>
          <w:rFonts w:ascii="Arial" w:eastAsia="Arial" w:hAnsi="Arial" w:cs="Arial"/>
          <w:sz w:val="24"/>
          <w:szCs w:val="24"/>
        </w:rPr>
        <w:t>, 2019). Estas condiciones impactan en las trayectorias estudiantiles y refuerzan desigualdades, lo que vuelve necesario el desarrollo de dispositivos institucionales integrales que aborden la alfabetización académica de manera transversal.</w:t>
      </w:r>
    </w:p>
    <w:p w14:paraId="13B0EFF2" w14:textId="77777777" w:rsidR="0073272A" w:rsidRDefault="0073272A" w:rsidP="0073272A">
      <w:pPr>
        <w:spacing w:line="360" w:lineRule="auto"/>
        <w:jc w:val="both"/>
        <w:rPr>
          <w:rFonts w:ascii="Arial" w:eastAsia="Arial" w:hAnsi="Arial" w:cs="Arial"/>
          <w:b/>
          <w:bCs/>
          <w:sz w:val="24"/>
          <w:szCs w:val="24"/>
        </w:rPr>
      </w:pPr>
      <w:r w:rsidRPr="0073272A">
        <w:rPr>
          <w:rFonts w:ascii="Arial" w:eastAsia="Arial" w:hAnsi="Arial" w:cs="Arial"/>
          <w:b/>
          <w:bCs/>
          <w:sz w:val="24"/>
          <w:szCs w:val="24"/>
        </w:rPr>
        <w:t>Metodología</w:t>
      </w:r>
    </w:p>
    <w:p w14:paraId="11E057E1" w14:textId="770C224D" w:rsidR="00B51E8F" w:rsidRPr="001D7966" w:rsidRDefault="00D8457B" w:rsidP="00D8457B">
      <w:pPr>
        <w:pStyle w:val="NormalWeb"/>
        <w:spacing w:line="360" w:lineRule="auto"/>
        <w:jc w:val="both"/>
        <w:rPr>
          <w:rFonts w:ascii="Arial" w:hAnsi="Arial" w:cs="Arial"/>
        </w:rPr>
      </w:pPr>
      <w:r w:rsidRPr="001D7966">
        <w:rPr>
          <w:rFonts w:ascii="Arial" w:hAnsi="Arial" w:cs="Arial"/>
        </w:rPr>
        <w:t xml:space="preserve">El trabajo adopta un enfoque cualitativo de tipo descriptivo-analítico, basado en la sistematización del diseño e implementación del PROCOA. La metodología se organizó en tres etapas articuladas. En primer lugar, </w:t>
      </w:r>
      <w:r w:rsidR="00C0560F">
        <w:rPr>
          <w:rFonts w:ascii="Arial" w:hAnsi="Arial" w:cs="Arial"/>
        </w:rPr>
        <w:t>se recopiló</w:t>
      </w:r>
      <w:r w:rsidR="000B188D">
        <w:rPr>
          <w:rFonts w:ascii="Arial" w:hAnsi="Arial" w:cs="Arial"/>
        </w:rPr>
        <w:t xml:space="preserve"> y sistematizó el corpus, compuesto por </w:t>
      </w:r>
      <w:r w:rsidRPr="001D7966">
        <w:rPr>
          <w:rFonts w:ascii="Arial" w:hAnsi="Arial" w:cs="Arial"/>
        </w:rPr>
        <w:t>documentos y materiales institucionales y disciplinares, entre los que se incluyen planes de estudio de las carreras involucradas, programas de asignaturas, producciones estudiantiles, normativas institucionales y publicaciones derivadas de jornadas de enseñanza de la institución, junto con bibliografía especializada en alfabetiz</w:t>
      </w:r>
      <w:r w:rsidR="001E534A" w:rsidRPr="001D7966">
        <w:rPr>
          <w:rFonts w:ascii="Arial" w:hAnsi="Arial" w:cs="Arial"/>
        </w:rPr>
        <w:t>ación académica y enseñanza del I</w:t>
      </w:r>
      <w:r w:rsidRPr="001D7966">
        <w:rPr>
          <w:rFonts w:ascii="Arial" w:hAnsi="Arial" w:cs="Arial"/>
        </w:rPr>
        <w:t xml:space="preserve">nglés con </w:t>
      </w:r>
      <w:r w:rsidR="001E534A" w:rsidRPr="001D7966">
        <w:rPr>
          <w:rFonts w:ascii="Arial" w:hAnsi="Arial" w:cs="Arial"/>
        </w:rPr>
        <w:t>Propósitos E</w:t>
      </w:r>
      <w:r w:rsidRPr="001D7966">
        <w:rPr>
          <w:rFonts w:ascii="Arial" w:hAnsi="Arial" w:cs="Arial"/>
        </w:rPr>
        <w:t xml:space="preserve">specíficos. </w:t>
      </w:r>
    </w:p>
    <w:p w14:paraId="73808323" w14:textId="77777777" w:rsidR="00B51E8F" w:rsidRPr="001D7966" w:rsidRDefault="00B51E8F" w:rsidP="00D8457B">
      <w:pPr>
        <w:pStyle w:val="NormalWeb"/>
        <w:spacing w:line="360" w:lineRule="auto"/>
        <w:jc w:val="both"/>
        <w:rPr>
          <w:rFonts w:ascii="Arial" w:hAnsi="Arial" w:cs="Arial"/>
        </w:rPr>
      </w:pPr>
    </w:p>
    <w:p w14:paraId="2433D4A5" w14:textId="77777777" w:rsidR="00B51E8F" w:rsidRPr="001D7966" w:rsidRDefault="00B51E8F" w:rsidP="00D8457B">
      <w:pPr>
        <w:pStyle w:val="NormalWeb"/>
        <w:spacing w:line="360" w:lineRule="auto"/>
        <w:jc w:val="both"/>
        <w:rPr>
          <w:rFonts w:ascii="Arial" w:hAnsi="Arial" w:cs="Arial"/>
        </w:rPr>
      </w:pPr>
    </w:p>
    <w:p w14:paraId="73718C63" w14:textId="77777777" w:rsidR="00B51E8F" w:rsidRPr="001D7966" w:rsidRDefault="00B51E8F" w:rsidP="00D8457B">
      <w:pPr>
        <w:pStyle w:val="NormalWeb"/>
        <w:spacing w:line="360" w:lineRule="auto"/>
        <w:jc w:val="both"/>
        <w:rPr>
          <w:rFonts w:ascii="Arial" w:hAnsi="Arial" w:cs="Arial"/>
        </w:rPr>
      </w:pPr>
    </w:p>
    <w:p w14:paraId="76898AF9" w14:textId="5CF06F3A" w:rsidR="00D8457B" w:rsidRPr="00D8457B" w:rsidRDefault="00D8457B" w:rsidP="00D8457B">
      <w:pPr>
        <w:pStyle w:val="NormalWeb"/>
        <w:spacing w:line="360" w:lineRule="auto"/>
        <w:jc w:val="both"/>
        <w:rPr>
          <w:rFonts w:ascii="Arial" w:hAnsi="Arial" w:cs="Arial"/>
        </w:rPr>
      </w:pPr>
      <w:r w:rsidRPr="001D7966">
        <w:rPr>
          <w:rFonts w:ascii="Arial" w:hAnsi="Arial" w:cs="Arial"/>
        </w:rPr>
        <w:t xml:space="preserve">En una segunda etapa, se analizó e interpretó el corpus, lo cual permitió identificar, describir y categorizar las prácticas de alfabetización académica y de comunicación científica bilingüe presentes en la institución, atendiendo a sus propósitos, géneros discursivos y contextos de uso. En tercer lugar, </w:t>
      </w:r>
      <w:r w:rsidR="000B188D">
        <w:rPr>
          <w:rFonts w:ascii="Arial" w:hAnsi="Arial" w:cs="Arial"/>
        </w:rPr>
        <w:t xml:space="preserve">se diseñó y caracterizó la propuesta del </w:t>
      </w:r>
      <w:r w:rsidRPr="001D7966">
        <w:rPr>
          <w:rFonts w:ascii="Arial" w:hAnsi="Arial" w:cs="Arial"/>
        </w:rPr>
        <w:t xml:space="preserve">PROCOA, poniendo en relación el diseño pedagógico con su implementación en las distintas instancias formativas. </w:t>
      </w:r>
      <w:bookmarkStart w:id="0" w:name="_GoBack"/>
      <w:bookmarkEnd w:id="0"/>
    </w:p>
    <w:p w14:paraId="5DC2CE85" w14:textId="217D9B8B" w:rsidR="0073272A" w:rsidRPr="0073272A" w:rsidRDefault="0073272A" w:rsidP="0073272A">
      <w:pPr>
        <w:spacing w:line="360" w:lineRule="auto"/>
        <w:jc w:val="both"/>
        <w:rPr>
          <w:rFonts w:ascii="Arial" w:eastAsia="Arial" w:hAnsi="Arial" w:cs="Arial"/>
          <w:b/>
          <w:bCs/>
          <w:sz w:val="24"/>
          <w:szCs w:val="24"/>
        </w:rPr>
      </w:pPr>
      <w:r w:rsidRPr="0073272A">
        <w:rPr>
          <w:rFonts w:ascii="Arial" w:eastAsia="Arial" w:hAnsi="Arial" w:cs="Arial"/>
          <w:b/>
          <w:bCs/>
          <w:sz w:val="24"/>
          <w:szCs w:val="24"/>
        </w:rPr>
        <w:t>Resultados</w:t>
      </w:r>
    </w:p>
    <w:p w14:paraId="2C0760CC" w14:textId="24DC5424"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El programa se organiza en cuatro ejes: (1) actividades con estudiantes de grado, (2) capacitación docente, (3) formación en posgrado e investigación y (4) acciones de vinculación e internalización. Su implementación se sustenta en el trabajo articulado de equipos docentes interdisciplinares, que integran saberes lingüísticos y disciplinares en el diseño de propuestas pedagógicas situadas.</w:t>
      </w:r>
    </w:p>
    <w:p w14:paraId="14FBD806" w14:textId="12F32D63" w:rsidR="0073272A" w:rsidRPr="0073272A" w:rsidRDefault="0073272A" w:rsidP="0073272A">
      <w:pPr>
        <w:spacing w:line="360" w:lineRule="auto"/>
        <w:jc w:val="both"/>
        <w:rPr>
          <w:rFonts w:ascii="Arial" w:eastAsia="Arial" w:hAnsi="Arial" w:cs="Arial"/>
          <w:i/>
          <w:iCs/>
          <w:sz w:val="24"/>
          <w:szCs w:val="24"/>
        </w:rPr>
      </w:pPr>
      <w:r w:rsidRPr="0073272A">
        <w:rPr>
          <w:rFonts w:ascii="Arial" w:eastAsia="Arial" w:hAnsi="Arial" w:cs="Arial"/>
          <w:i/>
          <w:iCs/>
          <w:sz w:val="24"/>
          <w:szCs w:val="24"/>
        </w:rPr>
        <w:t>1. Formación en el grado</w:t>
      </w:r>
    </w:p>
    <w:p w14:paraId="31A1E4E2" w14:textId="4B7C6E11" w:rsidR="00566EAF" w:rsidRPr="00566EAF" w:rsidRDefault="00566EAF" w:rsidP="00566EAF">
      <w:pPr>
        <w:pStyle w:val="NormalWeb"/>
        <w:spacing w:line="360" w:lineRule="auto"/>
        <w:jc w:val="both"/>
        <w:rPr>
          <w:rFonts w:ascii="Arial" w:hAnsi="Arial" w:cs="Arial"/>
        </w:rPr>
      </w:pPr>
      <w:r w:rsidRPr="001D7966">
        <w:rPr>
          <w:rFonts w:ascii="Arial" w:hAnsi="Arial" w:cs="Arial"/>
        </w:rPr>
        <w:t>La línea de formación en el grado del PROCOA se organiza en dos instancias complementarias: por un lado, la asignatura Inglés Técnico y, por otro, un Trayecto Formativo en Alfabetización Académica de carácter transversal, que articula acciones en diversas asignaturas de la carrera mediante el uso del inglés. El trabajo con materiales</w:t>
      </w:r>
      <w:r w:rsidR="00092EEF">
        <w:rPr>
          <w:rFonts w:ascii="Arial" w:hAnsi="Arial" w:cs="Arial"/>
        </w:rPr>
        <w:t xml:space="preserve"> </w:t>
      </w:r>
      <w:r w:rsidRPr="001D7966">
        <w:rPr>
          <w:rFonts w:ascii="Arial" w:hAnsi="Arial" w:cs="Arial"/>
        </w:rPr>
        <w:t xml:space="preserve">auténticos en esta lengua, en conjunto con la integración entre espacios curriculares, promueve aprendizajes situados y significativos, orientados no solo a la comprensión sino también a la producción discursiva. </w:t>
      </w:r>
    </w:p>
    <w:p w14:paraId="2F2A08F4" w14:textId="77777777" w:rsidR="00092EEF" w:rsidRDefault="00092EEF" w:rsidP="0073272A">
      <w:pPr>
        <w:spacing w:line="360" w:lineRule="auto"/>
        <w:jc w:val="both"/>
        <w:rPr>
          <w:rFonts w:ascii="Arial" w:eastAsia="Arial" w:hAnsi="Arial" w:cs="Arial"/>
          <w:i/>
          <w:iCs/>
          <w:sz w:val="24"/>
          <w:szCs w:val="24"/>
        </w:rPr>
      </w:pPr>
    </w:p>
    <w:p w14:paraId="7AA64FA2" w14:textId="77777777" w:rsidR="00092EEF" w:rsidRDefault="00092EEF" w:rsidP="0073272A">
      <w:pPr>
        <w:spacing w:line="360" w:lineRule="auto"/>
        <w:jc w:val="both"/>
        <w:rPr>
          <w:rFonts w:ascii="Arial" w:eastAsia="Arial" w:hAnsi="Arial" w:cs="Arial"/>
          <w:i/>
          <w:iCs/>
          <w:sz w:val="24"/>
          <w:szCs w:val="24"/>
        </w:rPr>
      </w:pPr>
    </w:p>
    <w:p w14:paraId="6858BD96" w14:textId="77777777" w:rsidR="000B188D" w:rsidRDefault="000B188D" w:rsidP="0073272A">
      <w:pPr>
        <w:spacing w:line="360" w:lineRule="auto"/>
        <w:jc w:val="both"/>
        <w:rPr>
          <w:rFonts w:ascii="Arial" w:eastAsia="Arial" w:hAnsi="Arial" w:cs="Arial"/>
          <w:i/>
          <w:iCs/>
          <w:sz w:val="24"/>
          <w:szCs w:val="24"/>
        </w:rPr>
      </w:pPr>
    </w:p>
    <w:p w14:paraId="2F94308B" w14:textId="77777777" w:rsidR="0073272A" w:rsidRPr="0073272A" w:rsidRDefault="0073272A" w:rsidP="0073272A">
      <w:pPr>
        <w:spacing w:line="360" w:lineRule="auto"/>
        <w:jc w:val="both"/>
        <w:rPr>
          <w:rFonts w:ascii="Arial" w:eastAsia="Arial" w:hAnsi="Arial" w:cs="Arial"/>
          <w:i/>
          <w:iCs/>
          <w:sz w:val="24"/>
          <w:szCs w:val="24"/>
        </w:rPr>
      </w:pPr>
      <w:r w:rsidRPr="0073272A">
        <w:rPr>
          <w:rFonts w:ascii="Arial" w:eastAsia="Arial" w:hAnsi="Arial" w:cs="Arial"/>
          <w:i/>
          <w:iCs/>
          <w:sz w:val="24"/>
          <w:szCs w:val="24"/>
        </w:rPr>
        <w:lastRenderedPageBreak/>
        <w:t>2. Formación entre pares docentes</w:t>
      </w:r>
    </w:p>
    <w:p w14:paraId="2AC1AA5C" w14:textId="77777777" w:rsidR="000B188D"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 xml:space="preserve">Una línea central del programa es la formación y el trabajo colaborativo entre docentes </w:t>
      </w:r>
      <w:r w:rsidR="00566EAF">
        <w:rPr>
          <w:rFonts w:ascii="Arial" w:eastAsia="Arial" w:hAnsi="Arial" w:cs="Arial"/>
          <w:sz w:val="24"/>
          <w:szCs w:val="24"/>
        </w:rPr>
        <w:t>de</w:t>
      </w:r>
      <w:r w:rsidRPr="0073272A">
        <w:rPr>
          <w:rFonts w:ascii="Arial" w:eastAsia="Arial" w:hAnsi="Arial" w:cs="Arial"/>
          <w:sz w:val="24"/>
          <w:szCs w:val="24"/>
        </w:rPr>
        <w:t xml:space="preserve"> lengua y de las disciplinas específicas. A través de talleres y espacios de intercambio,</w:t>
      </w:r>
      <w:r w:rsidR="00566EAF">
        <w:rPr>
          <w:rFonts w:ascii="Arial" w:eastAsia="Arial" w:hAnsi="Arial" w:cs="Arial"/>
          <w:sz w:val="24"/>
          <w:szCs w:val="24"/>
        </w:rPr>
        <w:t xml:space="preserve"> </w:t>
      </w:r>
      <w:r w:rsidRPr="0073272A">
        <w:rPr>
          <w:rFonts w:ascii="Arial" w:eastAsia="Arial" w:hAnsi="Arial" w:cs="Arial"/>
          <w:sz w:val="24"/>
          <w:szCs w:val="24"/>
        </w:rPr>
        <w:t>se promueve la reflexión sobre las prácticas de enseñanza, el diseño conjunto de actividades y la incorporación de la dimensión discursiva en las asignaturas.</w:t>
      </w:r>
    </w:p>
    <w:p w14:paraId="07081108" w14:textId="62B16675"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En este sentido, la propuesta se inscribe en enfoques de capacitación situada entre pares, en los que el desarrollo profesional docente se construye a partir del trabajo colaborativo sobre prácticas reales de enseñanza. Este enfoque favorece la apropiación de herramientas didácticas para el abordaje de la lectura y la escritura en las disciplinas, así como la construcción de criterios compartidos para la evaluación de las producciones estudiantiles, consolidando una comunidad docente comprometida con la enseñanza integrada de lengua y contenido.</w:t>
      </w:r>
    </w:p>
    <w:p w14:paraId="5B822118" w14:textId="77777777" w:rsidR="0073272A" w:rsidRPr="0073272A" w:rsidRDefault="0073272A" w:rsidP="0073272A">
      <w:pPr>
        <w:spacing w:line="360" w:lineRule="auto"/>
        <w:jc w:val="both"/>
        <w:rPr>
          <w:rFonts w:ascii="Arial" w:eastAsia="Arial" w:hAnsi="Arial" w:cs="Arial"/>
          <w:i/>
          <w:iCs/>
          <w:sz w:val="24"/>
          <w:szCs w:val="24"/>
        </w:rPr>
      </w:pPr>
      <w:r w:rsidRPr="0073272A">
        <w:rPr>
          <w:rFonts w:ascii="Arial" w:eastAsia="Arial" w:hAnsi="Arial" w:cs="Arial"/>
          <w:i/>
          <w:iCs/>
          <w:sz w:val="24"/>
          <w:szCs w:val="24"/>
        </w:rPr>
        <w:t>3. Investigación y posgrado</w:t>
      </w:r>
    </w:p>
    <w:p w14:paraId="4D9A9D42" w14:textId="77777777" w:rsidR="00092EEF"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 xml:space="preserve">En el ámbito de posgrado, la implementación de talleres orientados a la escritura y la oralidad académica en inglés constituye una línea estratégica del programa. Estos espacios se diseñan en articulación con las trayectorias de investigación de </w:t>
      </w:r>
      <w:proofErr w:type="spellStart"/>
      <w:r w:rsidRPr="0073272A">
        <w:rPr>
          <w:rFonts w:ascii="Arial" w:eastAsia="Arial" w:hAnsi="Arial" w:cs="Arial"/>
          <w:sz w:val="24"/>
          <w:szCs w:val="24"/>
        </w:rPr>
        <w:t>maestrandos</w:t>
      </w:r>
      <w:proofErr w:type="spellEnd"/>
      <w:r w:rsidR="001D7966">
        <w:rPr>
          <w:rFonts w:ascii="Arial" w:eastAsia="Arial" w:hAnsi="Arial" w:cs="Arial"/>
          <w:sz w:val="24"/>
          <w:szCs w:val="24"/>
        </w:rPr>
        <w:t xml:space="preserve"> </w:t>
      </w:r>
      <w:r w:rsidRPr="0073272A">
        <w:rPr>
          <w:rFonts w:ascii="Arial" w:eastAsia="Arial" w:hAnsi="Arial" w:cs="Arial"/>
          <w:sz w:val="24"/>
          <w:szCs w:val="24"/>
        </w:rPr>
        <w:t>y doctorandos, lo que permite trabajar sobre producciones reales —como artículos científicos, proyectos de tesis, ponencias y presentaciones en congresos—. De este modo, la enseñanza del inglés se integra de manera situada a las prácticas propias de la actividad científica.</w:t>
      </w:r>
      <w:r w:rsidR="00092EEF">
        <w:rPr>
          <w:rFonts w:ascii="Arial" w:eastAsia="Arial" w:hAnsi="Arial" w:cs="Arial"/>
          <w:sz w:val="24"/>
          <w:szCs w:val="24"/>
        </w:rPr>
        <w:t xml:space="preserve"> </w:t>
      </w:r>
    </w:p>
    <w:p w14:paraId="6BB8D0CF" w14:textId="405EAA76"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Asimismo, se contempla el acompañami</w:t>
      </w:r>
      <w:r w:rsidR="003A2EC2">
        <w:rPr>
          <w:rFonts w:ascii="Arial" w:eastAsia="Arial" w:hAnsi="Arial" w:cs="Arial"/>
          <w:sz w:val="24"/>
          <w:szCs w:val="24"/>
        </w:rPr>
        <w:t>ento en procesos de publicación</w:t>
      </w:r>
      <w:r w:rsidRPr="0073272A">
        <w:rPr>
          <w:rFonts w:ascii="Arial" w:eastAsia="Arial" w:hAnsi="Arial" w:cs="Arial"/>
          <w:sz w:val="24"/>
          <w:szCs w:val="24"/>
        </w:rPr>
        <w:t>. Esta orientación fortalece tanto las competencias lingüístico-discursivas en lengua extranjera como la comprensión de los circuitos de validación y circulación del conocimiento científico.</w:t>
      </w:r>
    </w:p>
    <w:p w14:paraId="0B240215" w14:textId="77777777" w:rsidR="00092EEF" w:rsidRDefault="00092EEF" w:rsidP="0073272A">
      <w:pPr>
        <w:spacing w:line="360" w:lineRule="auto"/>
        <w:jc w:val="both"/>
        <w:rPr>
          <w:rFonts w:ascii="Arial" w:eastAsia="Arial" w:hAnsi="Arial" w:cs="Arial"/>
          <w:i/>
          <w:iCs/>
          <w:sz w:val="24"/>
          <w:szCs w:val="24"/>
        </w:rPr>
      </w:pPr>
    </w:p>
    <w:p w14:paraId="7F7096D9" w14:textId="77777777" w:rsidR="00092EEF" w:rsidRDefault="00092EEF" w:rsidP="0073272A">
      <w:pPr>
        <w:spacing w:line="360" w:lineRule="auto"/>
        <w:jc w:val="both"/>
        <w:rPr>
          <w:rFonts w:ascii="Arial" w:eastAsia="Arial" w:hAnsi="Arial" w:cs="Arial"/>
          <w:i/>
          <w:iCs/>
          <w:sz w:val="24"/>
          <w:szCs w:val="24"/>
        </w:rPr>
      </w:pPr>
    </w:p>
    <w:p w14:paraId="2C2F819F" w14:textId="77777777" w:rsidR="0073272A" w:rsidRPr="0073272A" w:rsidRDefault="0073272A" w:rsidP="0073272A">
      <w:pPr>
        <w:spacing w:line="360" w:lineRule="auto"/>
        <w:jc w:val="both"/>
        <w:rPr>
          <w:rFonts w:ascii="Arial" w:eastAsia="Arial" w:hAnsi="Arial" w:cs="Arial"/>
          <w:i/>
          <w:iCs/>
          <w:sz w:val="24"/>
          <w:szCs w:val="24"/>
        </w:rPr>
      </w:pPr>
      <w:r w:rsidRPr="0073272A">
        <w:rPr>
          <w:rFonts w:ascii="Arial" w:eastAsia="Arial" w:hAnsi="Arial" w:cs="Arial"/>
          <w:i/>
          <w:iCs/>
          <w:sz w:val="24"/>
          <w:szCs w:val="24"/>
        </w:rPr>
        <w:t>4. Vinculación e internacionalización</w:t>
      </w:r>
    </w:p>
    <w:p w14:paraId="7F5E456D" w14:textId="77777777" w:rsidR="00566EAF"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 xml:space="preserve">El programa articula acciones de vinculación con el medio e internacionalización, promoviendo la inserción de estudiantes y docentes en contextos diversos de circulación del conocimiento. Por un lado, se desarrollan propuestas orientadas a la interacción con actores del entorno </w:t>
      </w:r>
      <w:proofErr w:type="spellStart"/>
      <w:r w:rsidRPr="0073272A">
        <w:rPr>
          <w:rFonts w:ascii="Arial" w:eastAsia="Arial" w:hAnsi="Arial" w:cs="Arial"/>
          <w:sz w:val="24"/>
          <w:szCs w:val="24"/>
        </w:rPr>
        <w:t>socioproductivo</w:t>
      </w:r>
      <w:proofErr w:type="spellEnd"/>
      <w:r w:rsidRPr="0073272A">
        <w:rPr>
          <w:rFonts w:ascii="Arial" w:eastAsia="Arial" w:hAnsi="Arial" w:cs="Arial"/>
          <w:sz w:val="24"/>
          <w:szCs w:val="24"/>
        </w:rPr>
        <w:t xml:space="preserve"> e institucional, que implican la producción de géneros discursivos como informes de transferencia, materiales de divulgación y presentaciones técnico-profesionales.</w:t>
      </w:r>
      <w:r w:rsidR="00566EAF">
        <w:rPr>
          <w:rFonts w:ascii="Arial" w:eastAsia="Arial" w:hAnsi="Arial" w:cs="Arial"/>
          <w:sz w:val="24"/>
          <w:szCs w:val="24"/>
        </w:rPr>
        <w:t xml:space="preserve"> </w:t>
      </w:r>
    </w:p>
    <w:p w14:paraId="6ABC927A" w14:textId="711303F0" w:rsidR="0073272A" w:rsidRP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Por otro, se favorece el desarrollo de habilidades comunicativas para la participación en redes académicas y profesionales internacionales, incluyendo la presentación en eventos científicos, la interacción en contextos de movilidad y el trabajo colaborativo con pares de otras instituciones. En este marco, el inglés se configura como una herramienta clave para la proyección internacional, al tiempo que se promueve una perspectiva crítica que reconoce la diversidad lingüística y revaloriza el español en la circulación del conocimiento.</w:t>
      </w:r>
    </w:p>
    <w:p w14:paraId="3FE01C3B" w14:textId="116DD6EF" w:rsidR="00400F4D" w:rsidRPr="00400F4D" w:rsidRDefault="00400F4D" w:rsidP="0073272A">
      <w:pPr>
        <w:spacing w:line="360" w:lineRule="auto"/>
        <w:jc w:val="both"/>
        <w:rPr>
          <w:rFonts w:ascii="Arial" w:eastAsia="Arial" w:hAnsi="Arial" w:cs="Arial"/>
          <w:b/>
          <w:bCs/>
          <w:sz w:val="24"/>
          <w:szCs w:val="24"/>
        </w:rPr>
      </w:pPr>
      <w:r w:rsidRPr="00400F4D">
        <w:rPr>
          <w:rFonts w:ascii="Arial" w:eastAsia="Arial" w:hAnsi="Arial" w:cs="Arial"/>
          <w:b/>
          <w:bCs/>
          <w:sz w:val="24"/>
          <w:szCs w:val="24"/>
        </w:rPr>
        <w:t>Discusión</w:t>
      </w:r>
    </w:p>
    <w:p w14:paraId="0E17EF94" w14:textId="3AB65531" w:rsidR="0073272A" w:rsidRDefault="00F1523C" w:rsidP="0073272A">
      <w:pPr>
        <w:spacing w:line="360" w:lineRule="auto"/>
        <w:jc w:val="both"/>
        <w:rPr>
          <w:rFonts w:ascii="Arial" w:eastAsia="Arial" w:hAnsi="Arial" w:cs="Arial"/>
          <w:sz w:val="24"/>
          <w:szCs w:val="24"/>
        </w:rPr>
      </w:pPr>
      <w:r>
        <w:rPr>
          <w:rFonts w:ascii="Arial" w:eastAsia="Arial" w:hAnsi="Arial" w:cs="Arial"/>
          <w:sz w:val="24"/>
          <w:szCs w:val="24"/>
        </w:rPr>
        <w:t>Las</w:t>
      </w:r>
      <w:r w:rsidR="0073272A" w:rsidRPr="0073272A">
        <w:rPr>
          <w:rFonts w:ascii="Arial" w:eastAsia="Arial" w:hAnsi="Arial" w:cs="Arial"/>
          <w:sz w:val="24"/>
          <w:szCs w:val="24"/>
        </w:rPr>
        <w:t xml:space="preserve"> acciones</w:t>
      </w:r>
      <w:r>
        <w:rPr>
          <w:rFonts w:ascii="Arial" w:eastAsia="Arial" w:hAnsi="Arial" w:cs="Arial"/>
          <w:sz w:val="24"/>
          <w:szCs w:val="24"/>
        </w:rPr>
        <w:t xml:space="preserve"> reseñadas</w:t>
      </w:r>
      <w:r w:rsidR="0073272A" w:rsidRPr="0073272A">
        <w:rPr>
          <w:rFonts w:ascii="Arial" w:eastAsia="Arial" w:hAnsi="Arial" w:cs="Arial"/>
          <w:sz w:val="24"/>
          <w:szCs w:val="24"/>
        </w:rPr>
        <w:t xml:space="preserve"> amplían los contextos de uso de las lenguas y fortalecen tanto la pertinencia social como la proyección internacional de la formación</w:t>
      </w:r>
      <w:r>
        <w:rPr>
          <w:rFonts w:ascii="Arial" w:eastAsia="Arial" w:hAnsi="Arial" w:cs="Arial"/>
          <w:sz w:val="24"/>
          <w:szCs w:val="24"/>
        </w:rPr>
        <w:t xml:space="preserve"> (</w:t>
      </w:r>
      <w:r w:rsidRPr="00F1523C">
        <w:rPr>
          <w:rFonts w:ascii="Arial" w:eastAsia="Arial" w:hAnsi="Arial" w:cs="Arial"/>
          <w:sz w:val="24"/>
          <w:szCs w:val="24"/>
        </w:rPr>
        <w:t>Calero</w:t>
      </w:r>
      <w:r>
        <w:rPr>
          <w:rFonts w:ascii="Arial" w:eastAsia="Arial" w:hAnsi="Arial" w:cs="Arial"/>
          <w:sz w:val="24"/>
          <w:szCs w:val="24"/>
        </w:rPr>
        <w:t xml:space="preserve"> et al., 2025)</w:t>
      </w:r>
      <w:r w:rsidR="0073272A" w:rsidRPr="0073272A">
        <w:rPr>
          <w:rFonts w:ascii="Arial" w:eastAsia="Arial" w:hAnsi="Arial" w:cs="Arial"/>
          <w:sz w:val="24"/>
          <w:szCs w:val="24"/>
        </w:rPr>
        <w:t>.</w:t>
      </w:r>
      <w:r>
        <w:rPr>
          <w:rFonts w:ascii="Arial" w:eastAsia="Arial" w:hAnsi="Arial" w:cs="Arial"/>
          <w:sz w:val="24"/>
          <w:szCs w:val="24"/>
        </w:rPr>
        <w:t xml:space="preserve"> </w:t>
      </w:r>
      <w:r w:rsidR="0073272A" w:rsidRPr="0073272A">
        <w:rPr>
          <w:rFonts w:ascii="Arial" w:eastAsia="Arial" w:hAnsi="Arial" w:cs="Arial"/>
          <w:sz w:val="24"/>
          <w:szCs w:val="24"/>
        </w:rPr>
        <w:t xml:space="preserve">En conjunto, </w:t>
      </w:r>
      <w:r>
        <w:rPr>
          <w:rFonts w:ascii="Arial" w:eastAsia="Arial" w:hAnsi="Arial" w:cs="Arial"/>
          <w:sz w:val="24"/>
          <w:szCs w:val="24"/>
        </w:rPr>
        <w:t>las</w:t>
      </w:r>
      <w:r w:rsidR="0073272A" w:rsidRPr="0073272A">
        <w:rPr>
          <w:rFonts w:ascii="Arial" w:eastAsia="Arial" w:hAnsi="Arial" w:cs="Arial"/>
          <w:sz w:val="24"/>
          <w:szCs w:val="24"/>
        </w:rPr>
        <w:t xml:space="preserve"> cuatro líneas de implementación consolidan el </w:t>
      </w:r>
      <w:r w:rsidR="00D92A72">
        <w:rPr>
          <w:rFonts w:ascii="Arial" w:eastAsia="Arial" w:hAnsi="Arial" w:cs="Arial"/>
          <w:sz w:val="24"/>
          <w:szCs w:val="24"/>
        </w:rPr>
        <w:t xml:space="preserve">PROCOA </w:t>
      </w:r>
      <w:r w:rsidR="0073272A" w:rsidRPr="0073272A">
        <w:rPr>
          <w:rFonts w:ascii="Arial" w:eastAsia="Arial" w:hAnsi="Arial" w:cs="Arial"/>
          <w:sz w:val="24"/>
          <w:szCs w:val="24"/>
        </w:rPr>
        <w:t xml:space="preserve">como un </w:t>
      </w:r>
      <w:bookmarkStart w:id="1" w:name="_Hlk227154887"/>
      <w:r w:rsidR="0073272A" w:rsidRPr="0073272A">
        <w:rPr>
          <w:rFonts w:ascii="Arial" w:eastAsia="Arial" w:hAnsi="Arial" w:cs="Arial"/>
          <w:sz w:val="24"/>
          <w:szCs w:val="24"/>
        </w:rPr>
        <w:t xml:space="preserve">dispositivo integral que articula formación </w:t>
      </w:r>
      <w:r w:rsidR="00A649D6">
        <w:rPr>
          <w:rFonts w:ascii="Arial" w:eastAsia="Arial" w:hAnsi="Arial" w:cs="Arial"/>
          <w:sz w:val="24"/>
          <w:szCs w:val="24"/>
        </w:rPr>
        <w:t>de</w:t>
      </w:r>
      <w:r w:rsidR="0073272A" w:rsidRPr="0073272A">
        <w:rPr>
          <w:rFonts w:ascii="Arial" w:eastAsia="Arial" w:hAnsi="Arial" w:cs="Arial"/>
          <w:sz w:val="24"/>
          <w:szCs w:val="24"/>
        </w:rPr>
        <w:t xml:space="preserve"> grado, desarrollo profesional docente, producción científica e inserción en el medio, contribuyendo a una formación universitaria situada, crítica y orientada a la participación en diversos contextos discursivos</w:t>
      </w:r>
      <w:bookmarkEnd w:id="1"/>
      <w:r>
        <w:rPr>
          <w:rFonts w:ascii="Arial" w:eastAsia="Arial" w:hAnsi="Arial" w:cs="Arial"/>
          <w:sz w:val="24"/>
          <w:szCs w:val="24"/>
        </w:rPr>
        <w:t xml:space="preserve"> (</w:t>
      </w:r>
      <w:proofErr w:type="spellStart"/>
      <w:r>
        <w:rPr>
          <w:rFonts w:ascii="Arial" w:eastAsia="Arial" w:hAnsi="Arial" w:cs="Arial"/>
          <w:sz w:val="24"/>
          <w:szCs w:val="24"/>
        </w:rPr>
        <w:t>Melfi</w:t>
      </w:r>
      <w:proofErr w:type="spellEnd"/>
      <w:r>
        <w:rPr>
          <w:rFonts w:ascii="Arial" w:eastAsia="Arial" w:hAnsi="Arial" w:cs="Arial"/>
          <w:sz w:val="24"/>
          <w:szCs w:val="24"/>
        </w:rPr>
        <w:t xml:space="preserve"> et al., 2025)</w:t>
      </w:r>
      <w:r w:rsidR="0073272A" w:rsidRPr="0073272A">
        <w:rPr>
          <w:rFonts w:ascii="Arial" w:eastAsia="Arial" w:hAnsi="Arial" w:cs="Arial"/>
          <w:sz w:val="24"/>
          <w:szCs w:val="24"/>
        </w:rPr>
        <w:t>.</w:t>
      </w:r>
    </w:p>
    <w:p w14:paraId="7FEF0A65" w14:textId="77777777" w:rsidR="00092EEF"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 xml:space="preserve">El modelo analizado se configura como una respuesta institucional a los desafíos actuales de la educación superior, particularmente en relación con la enseñanza del inglés y las </w:t>
      </w:r>
      <w:r w:rsidRPr="0073272A">
        <w:rPr>
          <w:rFonts w:ascii="Arial" w:eastAsia="Arial" w:hAnsi="Arial" w:cs="Arial"/>
          <w:sz w:val="24"/>
          <w:szCs w:val="24"/>
        </w:rPr>
        <w:lastRenderedPageBreak/>
        <w:t xml:space="preserve">prácticas letradas en contextos de diversidad. Su enfoque integral permite abordar las tensiones entre internacionalización y equidad, promoviendo una formación que favorece </w:t>
      </w:r>
    </w:p>
    <w:p w14:paraId="0367C3AC" w14:textId="77777777" w:rsidR="00092EEF" w:rsidRDefault="00092EEF" w:rsidP="0073272A">
      <w:pPr>
        <w:spacing w:line="360" w:lineRule="auto"/>
        <w:jc w:val="both"/>
        <w:rPr>
          <w:rFonts w:ascii="Arial" w:eastAsia="Arial" w:hAnsi="Arial" w:cs="Arial"/>
          <w:sz w:val="24"/>
          <w:szCs w:val="24"/>
        </w:rPr>
      </w:pPr>
    </w:p>
    <w:p w14:paraId="3ECA4280" w14:textId="77777777" w:rsidR="00092EEF" w:rsidRDefault="00092EEF" w:rsidP="0073272A">
      <w:pPr>
        <w:spacing w:line="360" w:lineRule="auto"/>
        <w:jc w:val="both"/>
        <w:rPr>
          <w:rFonts w:ascii="Arial" w:eastAsia="Arial" w:hAnsi="Arial" w:cs="Arial"/>
          <w:sz w:val="24"/>
          <w:szCs w:val="24"/>
        </w:rPr>
      </w:pPr>
    </w:p>
    <w:p w14:paraId="12E7E721" w14:textId="77777777" w:rsidR="00092EEF" w:rsidRDefault="0073272A" w:rsidP="0073272A">
      <w:pPr>
        <w:spacing w:line="360" w:lineRule="auto"/>
        <w:jc w:val="both"/>
        <w:rPr>
          <w:rFonts w:ascii="Arial" w:eastAsia="Arial" w:hAnsi="Arial" w:cs="Arial"/>
          <w:sz w:val="24"/>
          <w:szCs w:val="24"/>
        </w:rPr>
      </w:pPr>
      <w:proofErr w:type="gramStart"/>
      <w:r w:rsidRPr="0073272A">
        <w:rPr>
          <w:rFonts w:ascii="Arial" w:eastAsia="Arial" w:hAnsi="Arial" w:cs="Arial"/>
          <w:sz w:val="24"/>
          <w:szCs w:val="24"/>
        </w:rPr>
        <w:t>la</w:t>
      </w:r>
      <w:proofErr w:type="gramEnd"/>
      <w:r w:rsidRPr="0073272A">
        <w:rPr>
          <w:rFonts w:ascii="Arial" w:eastAsia="Arial" w:hAnsi="Arial" w:cs="Arial"/>
          <w:sz w:val="24"/>
          <w:szCs w:val="24"/>
        </w:rPr>
        <w:t xml:space="preserve"> participación en comunidades científicas sin desatender las condiciones locales</w:t>
      </w:r>
      <w:r w:rsidR="00791783">
        <w:rPr>
          <w:rFonts w:ascii="Arial" w:eastAsia="Arial" w:hAnsi="Arial" w:cs="Arial"/>
          <w:sz w:val="24"/>
          <w:szCs w:val="24"/>
        </w:rPr>
        <w:t xml:space="preserve"> (</w:t>
      </w:r>
      <w:proofErr w:type="spellStart"/>
      <w:r w:rsidR="00791783" w:rsidRPr="00791783">
        <w:rPr>
          <w:rFonts w:ascii="Arial" w:eastAsia="Arial" w:hAnsi="Arial" w:cs="Arial"/>
          <w:sz w:val="24"/>
          <w:szCs w:val="24"/>
        </w:rPr>
        <w:t>Castelazo</w:t>
      </w:r>
      <w:proofErr w:type="spellEnd"/>
      <w:r w:rsidR="00791783" w:rsidRPr="00791783">
        <w:rPr>
          <w:rFonts w:ascii="Arial" w:eastAsia="Arial" w:hAnsi="Arial" w:cs="Arial"/>
          <w:sz w:val="24"/>
          <w:szCs w:val="24"/>
        </w:rPr>
        <w:t>-André</w:t>
      </w:r>
      <w:r w:rsidR="00791783">
        <w:rPr>
          <w:rFonts w:ascii="Arial" w:eastAsia="Arial" w:hAnsi="Arial" w:cs="Arial"/>
          <w:sz w:val="24"/>
          <w:szCs w:val="24"/>
        </w:rPr>
        <w:t xml:space="preserve"> et al., 2025)</w:t>
      </w:r>
      <w:r w:rsidRPr="0073272A">
        <w:rPr>
          <w:rFonts w:ascii="Arial" w:eastAsia="Arial" w:hAnsi="Arial" w:cs="Arial"/>
          <w:sz w:val="24"/>
          <w:szCs w:val="24"/>
        </w:rPr>
        <w:t>.</w:t>
      </w:r>
      <w:r w:rsidR="00566EAF">
        <w:rPr>
          <w:rFonts w:ascii="Arial" w:eastAsia="Arial" w:hAnsi="Arial" w:cs="Arial"/>
          <w:sz w:val="24"/>
          <w:szCs w:val="24"/>
        </w:rPr>
        <w:t xml:space="preserve"> </w:t>
      </w:r>
    </w:p>
    <w:p w14:paraId="438A3407" w14:textId="77777777" w:rsidR="00A52002"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Desde una perspectiva de derechos, la alfabetización académica se entiende como una dimensión clave para garantizar el acceso, la permanencia y el egreso en la educación superior en condiciones de igualdad. En este sentido, la implementación de dispositivos institucionales sostenidos en el tiempo resulta fundamental para acompañar trayectorias estudiantiles heterogéneas</w:t>
      </w:r>
      <w:r w:rsidR="00791783">
        <w:rPr>
          <w:rFonts w:ascii="Arial" w:eastAsia="Arial" w:hAnsi="Arial" w:cs="Arial"/>
          <w:sz w:val="24"/>
          <w:szCs w:val="24"/>
        </w:rPr>
        <w:t xml:space="preserve"> (</w:t>
      </w:r>
      <w:proofErr w:type="spellStart"/>
      <w:r w:rsidR="00791783" w:rsidRPr="00791783">
        <w:rPr>
          <w:rFonts w:ascii="Arial" w:eastAsia="Arial" w:hAnsi="Arial" w:cs="Arial"/>
          <w:sz w:val="24"/>
          <w:szCs w:val="24"/>
        </w:rPr>
        <w:t>Giudice</w:t>
      </w:r>
      <w:proofErr w:type="spellEnd"/>
      <w:r w:rsidR="00791783">
        <w:rPr>
          <w:rFonts w:ascii="Arial" w:eastAsia="Arial" w:hAnsi="Arial" w:cs="Arial"/>
          <w:sz w:val="24"/>
          <w:szCs w:val="24"/>
        </w:rPr>
        <w:t xml:space="preserve"> y</w:t>
      </w:r>
      <w:r w:rsidR="00791783" w:rsidRPr="00791783">
        <w:rPr>
          <w:rFonts w:ascii="Arial" w:eastAsia="Arial" w:hAnsi="Arial" w:cs="Arial"/>
          <w:sz w:val="24"/>
          <w:szCs w:val="24"/>
        </w:rPr>
        <w:t xml:space="preserve"> González, 2023)</w:t>
      </w:r>
      <w:r w:rsidRPr="0073272A">
        <w:rPr>
          <w:rFonts w:ascii="Arial" w:eastAsia="Arial" w:hAnsi="Arial" w:cs="Arial"/>
          <w:sz w:val="24"/>
          <w:szCs w:val="24"/>
        </w:rPr>
        <w:t>.</w:t>
      </w:r>
      <w:r w:rsidR="00A52002">
        <w:rPr>
          <w:rFonts w:ascii="Arial" w:eastAsia="Arial" w:hAnsi="Arial" w:cs="Arial"/>
          <w:sz w:val="24"/>
          <w:szCs w:val="24"/>
        </w:rPr>
        <w:t xml:space="preserve"> </w:t>
      </w:r>
    </w:p>
    <w:p w14:paraId="3F71FD5B" w14:textId="27FAD5FF" w:rsidR="0073272A" w:rsidRDefault="0073272A" w:rsidP="0073272A">
      <w:pPr>
        <w:spacing w:line="360" w:lineRule="auto"/>
        <w:jc w:val="both"/>
        <w:rPr>
          <w:rFonts w:ascii="Arial" w:eastAsia="Arial" w:hAnsi="Arial" w:cs="Arial"/>
          <w:sz w:val="24"/>
          <w:szCs w:val="24"/>
        </w:rPr>
      </w:pPr>
      <w:r w:rsidRPr="0073272A">
        <w:rPr>
          <w:rFonts w:ascii="Arial" w:eastAsia="Arial" w:hAnsi="Arial" w:cs="Arial"/>
          <w:sz w:val="24"/>
          <w:szCs w:val="24"/>
        </w:rPr>
        <w:t>Finalmente, el modelo presenta potencial de transferencia a otros contextos institucionales y disciplinas, en la medida en que se sustenta en principios teóricos sólidos y en una concepción situada de la enseñanza. Su desarrollo invita a profundizar líneas de investigación vinculadas con las prácticas letradas en la universidad y con las políticas institucionales orientadas a garantizar el derecho a la educación en contextos contemporáneos.</w:t>
      </w:r>
    </w:p>
    <w:p w14:paraId="5AFCC24E" w14:textId="77777777" w:rsidR="00351F0F" w:rsidRDefault="006B5AB9">
      <w:pPr>
        <w:spacing w:line="360" w:lineRule="auto"/>
      </w:pPr>
      <w:r>
        <w:rPr>
          <w:rFonts w:ascii="Arial" w:eastAsia="Arial" w:hAnsi="Arial" w:cs="Arial"/>
          <w:b/>
          <w:bCs/>
          <w:sz w:val="24"/>
          <w:szCs w:val="24"/>
        </w:rPr>
        <w:t>REFERENCIAS</w:t>
      </w:r>
    </w:p>
    <w:p w14:paraId="39EC204F" w14:textId="72835B2B" w:rsidR="00400F4D" w:rsidRPr="00400F4D" w:rsidRDefault="00400F4D" w:rsidP="00400F4D">
      <w:pPr>
        <w:spacing w:line="360" w:lineRule="auto"/>
        <w:jc w:val="both"/>
        <w:rPr>
          <w:rFonts w:ascii="Arial" w:eastAsia="Arial" w:hAnsi="Arial" w:cs="Arial"/>
          <w:sz w:val="24"/>
          <w:szCs w:val="24"/>
        </w:rPr>
      </w:pPr>
      <w:r w:rsidRPr="00400F4D">
        <w:rPr>
          <w:rFonts w:ascii="Arial" w:eastAsia="Arial" w:hAnsi="Arial" w:cs="Arial"/>
          <w:sz w:val="24"/>
          <w:szCs w:val="24"/>
        </w:rPr>
        <w:t>Acosta de Galindo, A.</w:t>
      </w:r>
      <w:r>
        <w:rPr>
          <w:rFonts w:ascii="Arial" w:eastAsia="Arial" w:hAnsi="Arial" w:cs="Arial"/>
          <w:sz w:val="24"/>
          <w:szCs w:val="24"/>
        </w:rPr>
        <w:t xml:space="preserve"> y</w:t>
      </w:r>
      <w:r w:rsidRPr="00400F4D">
        <w:rPr>
          <w:rFonts w:ascii="Arial" w:eastAsia="Arial" w:hAnsi="Arial" w:cs="Arial"/>
          <w:sz w:val="24"/>
          <w:szCs w:val="24"/>
        </w:rPr>
        <w:t xml:space="preserve"> </w:t>
      </w:r>
      <w:proofErr w:type="spellStart"/>
      <w:r w:rsidRPr="00400F4D">
        <w:rPr>
          <w:rFonts w:ascii="Arial" w:eastAsia="Arial" w:hAnsi="Arial" w:cs="Arial"/>
          <w:sz w:val="24"/>
          <w:szCs w:val="24"/>
        </w:rPr>
        <w:t>Zonana</w:t>
      </w:r>
      <w:proofErr w:type="spellEnd"/>
      <w:r w:rsidRPr="00400F4D">
        <w:rPr>
          <w:rFonts w:ascii="Arial" w:eastAsia="Arial" w:hAnsi="Arial" w:cs="Arial"/>
          <w:sz w:val="24"/>
          <w:szCs w:val="24"/>
        </w:rPr>
        <w:t xml:space="preserve">, G. (2019). </w:t>
      </w:r>
      <w:r w:rsidRPr="00400F4D">
        <w:rPr>
          <w:rFonts w:ascii="Arial" w:eastAsia="Arial" w:hAnsi="Arial" w:cs="Arial"/>
          <w:i/>
          <w:iCs/>
          <w:sz w:val="24"/>
          <w:szCs w:val="24"/>
        </w:rPr>
        <w:t>La enseñanza de lenguas extranjeras en la universidad</w:t>
      </w:r>
      <w:r w:rsidRPr="00400F4D">
        <w:rPr>
          <w:rFonts w:ascii="Arial" w:eastAsia="Arial" w:hAnsi="Arial" w:cs="Arial"/>
          <w:sz w:val="24"/>
          <w:szCs w:val="24"/>
        </w:rPr>
        <w:t>. Facultad de Filosofía y Letras</w:t>
      </w:r>
      <w:r>
        <w:rPr>
          <w:rFonts w:ascii="Arial" w:eastAsia="Arial" w:hAnsi="Arial" w:cs="Arial"/>
          <w:sz w:val="24"/>
          <w:szCs w:val="24"/>
        </w:rPr>
        <w:t>,</w:t>
      </w:r>
      <w:r w:rsidRPr="00400F4D">
        <w:rPr>
          <w:rFonts w:ascii="Arial" w:eastAsia="Arial" w:hAnsi="Arial" w:cs="Arial"/>
          <w:sz w:val="24"/>
          <w:szCs w:val="24"/>
        </w:rPr>
        <w:t xml:space="preserve"> Universidad Nacional de Cuyo</w:t>
      </w:r>
      <w:r>
        <w:rPr>
          <w:rFonts w:ascii="Arial" w:eastAsia="Arial" w:hAnsi="Arial" w:cs="Arial"/>
          <w:sz w:val="24"/>
          <w:szCs w:val="24"/>
        </w:rPr>
        <w:t>,</w:t>
      </w:r>
      <w:r w:rsidRPr="00400F4D">
        <w:rPr>
          <w:rFonts w:ascii="Arial" w:eastAsia="Arial" w:hAnsi="Arial" w:cs="Arial"/>
          <w:sz w:val="24"/>
          <w:szCs w:val="24"/>
        </w:rPr>
        <w:t xml:space="preserve"> Mendoza</w:t>
      </w:r>
      <w:r>
        <w:rPr>
          <w:rFonts w:ascii="Arial" w:eastAsia="Arial" w:hAnsi="Arial" w:cs="Arial"/>
          <w:sz w:val="24"/>
          <w:szCs w:val="24"/>
        </w:rPr>
        <w:t>.</w:t>
      </w:r>
    </w:p>
    <w:p w14:paraId="35D026D0" w14:textId="58EC5F00" w:rsidR="001E534A" w:rsidRDefault="00400F4D" w:rsidP="00400F4D">
      <w:pPr>
        <w:spacing w:line="360" w:lineRule="auto"/>
        <w:rPr>
          <w:rFonts w:ascii="Arial" w:eastAsia="Arial" w:hAnsi="Arial" w:cs="Arial"/>
          <w:sz w:val="24"/>
          <w:szCs w:val="24"/>
          <w:lang w:val="en-GB"/>
        </w:rPr>
      </w:pPr>
      <w:r w:rsidRPr="00D92A72">
        <w:rPr>
          <w:rFonts w:ascii="Arial" w:eastAsia="Arial" w:hAnsi="Arial" w:cs="Arial"/>
          <w:sz w:val="24"/>
          <w:szCs w:val="24"/>
          <w:lang w:val="en-GB"/>
        </w:rPr>
        <w:t xml:space="preserve">Bhatia, V. (2004). </w:t>
      </w:r>
      <w:r w:rsidRPr="00D92A72">
        <w:rPr>
          <w:rFonts w:ascii="Arial" w:eastAsia="Arial" w:hAnsi="Arial" w:cs="Arial"/>
          <w:i/>
          <w:iCs/>
          <w:sz w:val="24"/>
          <w:szCs w:val="24"/>
          <w:lang w:val="en-GB"/>
        </w:rPr>
        <w:t>Worlds of written discourse</w:t>
      </w:r>
      <w:r w:rsidRPr="00D92A72">
        <w:rPr>
          <w:rFonts w:ascii="Arial" w:eastAsia="Arial" w:hAnsi="Arial" w:cs="Arial"/>
          <w:sz w:val="24"/>
          <w:szCs w:val="24"/>
          <w:lang w:val="en-GB"/>
        </w:rPr>
        <w:t>. Continuum.</w:t>
      </w:r>
      <w:r w:rsidRPr="00D92A72">
        <w:rPr>
          <w:lang w:val="en-GB"/>
        </w:rPr>
        <w:t xml:space="preserve"> </w:t>
      </w:r>
      <w:r w:rsidRPr="00D92A72">
        <w:rPr>
          <w:rFonts w:ascii="Arial" w:eastAsia="Arial" w:hAnsi="Arial" w:cs="Arial"/>
          <w:sz w:val="24"/>
          <w:szCs w:val="24"/>
          <w:lang w:val="en-GB"/>
        </w:rPr>
        <w:t>Bloomsbury Publishing.</w:t>
      </w:r>
    </w:p>
    <w:p w14:paraId="4B3E8FCE" w14:textId="6E9CE7E9" w:rsidR="00400F4D" w:rsidRDefault="00400F4D" w:rsidP="00400F4D">
      <w:pPr>
        <w:spacing w:line="360" w:lineRule="auto"/>
        <w:rPr>
          <w:rFonts w:ascii="Arial" w:eastAsia="Arial" w:hAnsi="Arial" w:cs="Arial"/>
          <w:sz w:val="24"/>
          <w:szCs w:val="24"/>
        </w:rPr>
      </w:pPr>
      <w:proofErr w:type="spellStart"/>
      <w:r w:rsidRPr="00D92A72">
        <w:rPr>
          <w:rFonts w:ascii="Arial" w:eastAsia="Arial" w:hAnsi="Arial" w:cs="Arial"/>
          <w:sz w:val="24"/>
          <w:szCs w:val="24"/>
          <w:lang w:val="en-GB"/>
        </w:rPr>
        <w:t>Carlino</w:t>
      </w:r>
      <w:proofErr w:type="spellEnd"/>
      <w:r w:rsidRPr="00D92A72">
        <w:rPr>
          <w:rFonts w:ascii="Arial" w:eastAsia="Arial" w:hAnsi="Arial" w:cs="Arial"/>
          <w:sz w:val="24"/>
          <w:szCs w:val="24"/>
          <w:lang w:val="en-GB"/>
        </w:rPr>
        <w:t xml:space="preserve">, P. (2004). </w:t>
      </w:r>
      <w:r w:rsidRPr="00400F4D">
        <w:rPr>
          <w:rFonts w:ascii="Arial" w:eastAsia="Arial" w:hAnsi="Arial" w:cs="Arial"/>
          <w:i/>
          <w:iCs/>
          <w:sz w:val="24"/>
          <w:szCs w:val="24"/>
        </w:rPr>
        <w:t>Escribir, leer y aprender en la universidad</w:t>
      </w:r>
      <w:r w:rsidRPr="00400F4D">
        <w:rPr>
          <w:rFonts w:ascii="Arial" w:eastAsia="Arial" w:hAnsi="Arial" w:cs="Arial"/>
          <w:sz w:val="24"/>
          <w:szCs w:val="24"/>
        </w:rPr>
        <w:t>.</w:t>
      </w:r>
      <w:r w:rsidRPr="00400F4D">
        <w:t xml:space="preserve"> </w:t>
      </w:r>
      <w:r w:rsidRPr="00400F4D">
        <w:rPr>
          <w:rFonts w:ascii="Arial" w:eastAsia="Arial" w:hAnsi="Arial" w:cs="Arial"/>
          <w:sz w:val="24"/>
          <w:szCs w:val="24"/>
        </w:rPr>
        <w:t>1º edición. Buenos Aires, Fondo de Cultura Económica. 208 pp.</w:t>
      </w:r>
      <w:r w:rsidRPr="00400F4D">
        <w:t xml:space="preserve"> </w:t>
      </w:r>
      <w:hyperlink r:id="rId8" w:history="1">
        <w:r w:rsidRPr="00CB2BD1">
          <w:rPr>
            <w:rStyle w:val="Hipervnculo"/>
            <w:rFonts w:ascii="Arial" w:eastAsia="Arial" w:hAnsi="Arial" w:cs="Arial"/>
            <w:sz w:val="24"/>
            <w:szCs w:val="24"/>
          </w:rPr>
          <w:t>https://cpalazzo.wordpress.com/wp-content/uploads/2013/07/primeros-pasos-en-la-u.pdf</w:t>
        </w:r>
      </w:hyperlink>
    </w:p>
    <w:p w14:paraId="4AEDD52C" w14:textId="7B831CBA" w:rsidR="00400F4D" w:rsidRDefault="00400F4D" w:rsidP="00400F4D">
      <w:pPr>
        <w:spacing w:line="360" w:lineRule="auto"/>
        <w:rPr>
          <w:rFonts w:ascii="Arial" w:eastAsia="Arial" w:hAnsi="Arial" w:cs="Arial"/>
          <w:sz w:val="24"/>
          <w:szCs w:val="24"/>
        </w:rPr>
      </w:pPr>
      <w:proofErr w:type="spellStart"/>
      <w:r w:rsidRPr="00400F4D">
        <w:rPr>
          <w:rFonts w:ascii="Arial" w:eastAsia="Arial" w:hAnsi="Arial" w:cs="Arial"/>
          <w:sz w:val="24"/>
          <w:szCs w:val="24"/>
        </w:rPr>
        <w:lastRenderedPageBreak/>
        <w:t>Carlino</w:t>
      </w:r>
      <w:proofErr w:type="spellEnd"/>
      <w:r w:rsidRPr="00400F4D">
        <w:rPr>
          <w:rFonts w:ascii="Arial" w:eastAsia="Arial" w:hAnsi="Arial" w:cs="Arial"/>
          <w:sz w:val="24"/>
          <w:szCs w:val="24"/>
        </w:rPr>
        <w:t xml:space="preserve">, P. (2013). Alfabetización académica diez años después. </w:t>
      </w:r>
      <w:r w:rsidRPr="00400F4D">
        <w:rPr>
          <w:rFonts w:ascii="Arial" w:eastAsia="Arial" w:hAnsi="Arial" w:cs="Arial"/>
          <w:i/>
          <w:iCs/>
          <w:sz w:val="24"/>
          <w:szCs w:val="24"/>
        </w:rPr>
        <w:t>Revista mexicana de investigación educativa, 18(57)</w:t>
      </w:r>
      <w:r w:rsidRPr="00400F4D">
        <w:rPr>
          <w:rFonts w:ascii="Arial" w:eastAsia="Arial" w:hAnsi="Arial" w:cs="Arial"/>
          <w:sz w:val="24"/>
          <w:szCs w:val="24"/>
        </w:rPr>
        <w:t>, 355-381.</w:t>
      </w:r>
      <w:r w:rsidRPr="00400F4D">
        <w:t xml:space="preserve"> </w:t>
      </w:r>
      <w:r w:rsidRPr="00400F4D">
        <w:rPr>
          <w:rFonts w:ascii="Arial" w:eastAsia="Arial" w:hAnsi="Arial" w:cs="Arial"/>
          <w:sz w:val="24"/>
          <w:szCs w:val="24"/>
        </w:rPr>
        <w:t>https://inscastelli-cha.infd.edu.ar/sitio/upload/carlino_diez_a%F1os_despues.PDF</w:t>
      </w:r>
    </w:p>
    <w:p w14:paraId="7F057902" w14:textId="77777777" w:rsidR="00092EEF" w:rsidRDefault="00092EEF" w:rsidP="00400F4D">
      <w:pPr>
        <w:spacing w:line="360" w:lineRule="auto"/>
        <w:rPr>
          <w:rFonts w:ascii="Arial" w:eastAsia="Arial" w:hAnsi="Arial" w:cs="Arial"/>
          <w:sz w:val="24"/>
          <w:szCs w:val="24"/>
        </w:rPr>
      </w:pPr>
    </w:p>
    <w:p w14:paraId="10004527" w14:textId="77777777" w:rsidR="00092EEF" w:rsidRDefault="00092EEF" w:rsidP="00400F4D">
      <w:pPr>
        <w:spacing w:line="360" w:lineRule="auto"/>
        <w:rPr>
          <w:rFonts w:ascii="Arial" w:eastAsia="Arial" w:hAnsi="Arial" w:cs="Arial"/>
          <w:sz w:val="24"/>
          <w:szCs w:val="24"/>
        </w:rPr>
      </w:pPr>
    </w:p>
    <w:p w14:paraId="7569B3B8" w14:textId="77777777" w:rsidR="00092EEF" w:rsidRDefault="00092EEF" w:rsidP="00400F4D">
      <w:pPr>
        <w:spacing w:line="360" w:lineRule="auto"/>
        <w:rPr>
          <w:rFonts w:ascii="Arial" w:eastAsia="Arial" w:hAnsi="Arial" w:cs="Arial"/>
          <w:sz w:val="24"/>
          <w:szCs w:val="24"/>
        </w:rPr>
      </w:pPr>
    </w:p>
    <w:p w14:paraId="0807C641" w14:textId="2FBC4A5E" w:rsidR="00791783" w:rsidRDefault="00F1523C" w:rsidP="00400F4D">
      <w:pPr>
        <w:spacing w:line="360" w:lineRule="auto"/>
        <w:rPr>
          <w:rFonts w:ascii="Arial" w:eastAsia="Arial" w:hAnsi="Arial" w:cs="Arial"/>
          <w:sz w:val="24"/>
          <w:szCs w:val="24"/>
        </w:rPr>
      </w:pPr>
      <w:r w:rsidRPr="00F1523C">
        <w:rPr>
          <w:rFonts w:ascii="Arial" w:eastAsia="Arial" w:hAnsi="Arial" w:cs="Arial"/>
          <w:sz w:val="24"/>
          <w:szCs w:val="24"/>
        </w:rPr>
        <w:t xml:space="preserve">Calero, R. D. H., Almazán, I. C., Arévalo, A. V. P., </w:t>
      </w:r>
      <w:proofErr w:type="spellStart"/>
      <w:r w:rsidR="00791783" w:rsidRPr="00791783">
        <w:rPr>
          <w:rFonts w:ascii="Arial" w:eastAsia="Arial" w:hAnsi="Arial" w:cs="Arial"/>
          <w:sz w:val="24"/>
          <w:szCs w:val="24"/>
        </w:rPr>
        <w:t>Castelazo</w:t>
      </w:r>
      <w:proofErr w:type="spellEnd"/>
      <w:r w:rsidR="00791783" w:rsidRPr="00791783">
        <w:rPr>
          <w:rFonts w:ascii="Arial" w:eastAsia="Arial" w:hAnsi="Arial" w:cs="Arial"/>
          <w:sz w:val="24"/>
          <w:szCs w:val="24"/>
        </w:rPr>
        <w:t>-André, M. J., Zurita-Altamirano, J.</w:t>
      </w:r>
      <w:r w:rsidR="00A37C83">
        <w:rPr>
          <w:rFonts w:ascii="Arial" w:eastAsia="Arial" w:hAnsi="Arial" w:cs="Arial"/>
          <w:sz w:val="24"/>
          <w:szCs w:val="24"/>
        </w:rPr>
        <w:t xml:space="preserve"> y</w:t>
      </w:r>
      <w:r w:rsidR="00791783" w:rsidRPr="00791783">
        <w:rPr>
          <w:rFonts w:ascii="Arial" w:eastAsia="Arial" w:hAnsi="Arial" w:cs="Arial"/>
          <w:sz w:val="24"/>
          <w:szCs w:val="24"/>
        </w:rPr>
        <w:t xml:space="preserve"> Pinos-Montenegro, J. (2025). Perspectivas de la internacionalización en la educación superior en América Latina. Quito: Pontificia Universidad Católica de Ecuador. </w:t>
      </w:r>
      <w:hyperlink r:id="rId9" w:history="1">
        <w:r w:rsidR="00791783" w:rsidRPr="00CB2BD1">
          <w:rPr>
            <w:rStyle w:val="Hipervnculo"/>
            <w:rFonts w:ascii="Arial" w:eastAsia="Arial" w:hAnsi="Arial" w:cs="Arial"/>
            <w:sz w:val="24"/>
            <w:szCs w:val="24"/>
          </w:rPr>
          <w:t>https://hdl.handle.net/11117/11984</w:t>
        </w:r>
      </w:hyperlink>
    </w:p>
    <w:p w14:paraId="28DD8132" w14:textId="0532C6F8" w:rsidR="00F1523C" w:rsidRDefault="00F1523C" w:rsidP="00400F4D">
      <w:pPr>
        <w:spacing w:line="360" w:lineRule="auto"/>
        <w:rPr>
          <w:rFonts w:ascii="Arial" w:eastAsia="Arial" w:hAnsi="Arial" w:cs="Arial"/>
          <w:sz w:val="24"/>
          <w:szCs w:val="24"/>
        </w:rPr>
      </w:pPr>
      <w:r w:rsidRPr="00F1523C">
        <w:rPr>
          <w:rFonts w:ascii="Arial" w:eastAsia="Arial" w:hAnsi="Arial" w:cs="Arial"/>
          <w:sz w:val="24"/>
          <w:szCs w:val="24"/>
        </w:rPr>
        <w:t>Díaz, L. E. R.</w:t>
      </w:r>
      <w:r>
        <w:rPr>
          <w:rFonts w:ascii="Arial" w:eastAsia="Arial" w:hAnsi="Arial" w:cs="Arial"/>
          <w:sz w:val="24"/>
          <w:szCs w:val="24"/>
        </w:rPr>
        <w:t xml:space="preserve"> y</w:t>
      </w:r>
      <w:r w:rsidRPr="00F1523C">
        <w:rPr>
          <w:rFonts w:ascii="Arial" w:eastAsia="Arial" w:hAnsi="Arial" w:cs="Arial"/>
          <w:sz w:val="24"/>
          <w:szCs w:val="24"/>
        </w:rPr>
        <w:t xml:space="preserve"> Tafur, N. S. L. (2025). Entre teoría y práctica: Contribuciones para el debate regional en América Latina sobre formación continua, competencias profesionales e innovación educativa. </w:t>
      </w:r>
      <w:r w:rsidRPr="00F1523C">
        <w:rPr>
          <w:rFonts w:ascii="Arial" w:eastAsia="Arial" w:hAnsi="Arial" w:cs="Arial"/>
          <w:i/>
          <w:iCs/>
          <w:sz w:val="24"/>
          <w:szCs w:val="24"/>
        </w:rPr>
        <w:t>Revista Social Fronteriza, 5(5)</w:t>
      </w:r>
      <w:r>
        <w:rPr>
          <w:rFonts w:ascii="Arial" w:eastAsia="Arial" w:hAnsi="Arial" w:cs="Arial"/>
          <w:i/>
          <w:iCs/>
          <w:sz w:val="24"/>
          <w:szCs w:val="24"/>
        </w:rPr>
        <w:t xml:space="preserve">, </w:t>
      </w:r>
      <w:r w:rsidRPr="00F1523C">
        <w:rPr>
          <w:rFonts w:ascii="Arial" w:eastAsia="Arial" w:hAnsi="Arial" w:cs="Arial"/>
          <w:i/>
          <w:iCs/>
          <w:sz w:val="24"/>
          <w:szCs w:val="24"/>
        </w:rPr>
        <w:t>e–886. https://doi.org/10.59814/resofro.2025.5(5)886</w:t>
      </w:r>
      <w:r w:rsidRPr="00F1523C">
        <w:rPr>
          <w:rFonts w:ascii="Arial" w:eastAsia="Arial" w:hAnsi="Arial" w:cs="Arial"/>
          <w:sz w:val="24"/>
          <w:szCs w:val="24"/>
        </w:rPr>
        <w:t xml:space="preserve">. </w:t>
      </w:r>
    </w:p>
    <w:p w14:paraId="6BF89E4B" w14:textId="7E494AAE" w:rsidR="00400F4D" w:rsidRPr="00D92A72" w:rsidRDefault="00400F4D" w:rsidP="00400F4D">
      <w:pPr>
        <w:spacing w:line="360" w:lineRule="auto"/>
        <w:rPr>
          <w:rFonts w:ascii="Arial" w:eastAsia="Arial" w:hAnsi="Arial" w:cs="Arial"/>
          <w:sz w:val="24"/>
          <w:szCs w:val="24"/>
          <w:lang w:val="en-GB"/>
        </w:rPr>
      </w:pPr>
      <w:proofErr w:type="spellStart"/>
      <w:r w:rsidRPr="00400F4D">
        <w:rPr>
          <w:rFonts w:ascii="Arial" w:eastAsia="Arial" w:hAnsi="Arial" w:cs="Arial"/>
          <w:sz w:val="24"/>
          <w:szCs w:val="24"/>
        </w:rPr>
        <w:t>Dudley</w:t>
      </w:r>
      <w:proofErr w:type="spellEnd"/>
      <w:r w:rsidRPr="00400F4D">
        <w:rPr>
          <w:rFonts w:ascii="Arial" w:eastAsia="Arial" w:hAnsi="Arial" w:cs="Arial"/>
          <w:sz w:val="24"/>
          <w:szCs w:val="24"/>
        </w:rPr>
        <w:t>-Evans, T.</w:t>
      </w:r>
      <w:r w:rsidR="000E350C">
        <w:rPr>
          <w:rFonts w:ascii="Arial" w:eastAsia="Arial" w:hAnsi="Arial" w:cs="Arial"/>
          <w:sz w:val="24"/>
          <w:szCs w:val="24"/>
        </w:rPr>
        <w:t xml:space="preserve"> y</w:t>
      </w:r>
      <w:r w:rsidRPr="00400F4D">
        <w:rPr>
          <w:rFonts w:ascii="Arial" w:eastAsia="Arial" w:hAnsi="Arial" w:cs="Arial"/>
          <w:sz w:val="24"/>
          <w:szCs w:val="24"/>
        </w:rPr>
        <w:t xml:space="preserve"> </w:t>
      </w:r>
      <w:proofErr w:type="spellStart"/>
      <w:r w:rsidRPr="00400F4D">
        <w:rPr>
          <w:rFonts w:ascii="Arial" w:eastAsia="Arial" w:hAnsi="Arial" w:cs="Arial"/>
          <w:sz w:val="24"/>
          <w:szCs w:val="24"/>
        </w:rPr>
        <w:t>St</w:t>
      </w:r>
      <w:proofErr w:type="spellEnd"/>
      <w:r w:rsidRPr="00400F4D">
        <w:rPr>
          <w:rFonts w:ascii="Arial" w:eastAsia="Arial" w:hAnsi="Arial" w:cs="Arial"/>
          <w:sz w:val="24"/>
          <w:szCs w:val="24"/>
        </w:rPr>
        <w:t xml:space="preserve"> John, M. (1998). </w:t>
      </w:r>
      <w:r w:rsidRPr="00D92A72">
        <w:rPr>
          <w:rFonts w:ascii="Arial" w:eastAsia="Arial" w:hAnsi="Arial" w:cs="Arial"/>
          <w:i/>
          <w:iCs/>
          <w:sz w:val="24"/>
          <w:szCs w:val="24"/>
          <w:lang w:val="en-GB"/>
        </w:rPr>
        <w:t>Developments in ESP</w:t>
      </w:r>
      <w:r w:rsidRPr="00D92A72">
        <w:rPr>
          <w:rFonts w:ascii="Arial" w:eastAsia="Arial" w:hAnsi="Arial" w:cs="Arial"/>
          <w:sz w:val="24"/>
          <w:szCs w:val="24"/>
          <w:lang w:val="en-GB"/>
        </w:rPr>
        <w:t>. Cambridge University Press.</w:t>
      </w:r>
    </w:p>
    <w:p w14:paraId="5BC02B16" w14:textId="1D84DC04" w:rsidR="00791783" w:rsidRPr="00D92A72" w:rsidRDefault="00791783" w:rsidP="00791783">
      <w:pPr>
        <w:spacing w:line="360" w:lineRule="auto"/>
        <w:jc w:val="both"/>
        <w:rPr>
          <w:rFonts w:ascii="Arial" w:eastAsia="Arial" w:hAnsi="Arial" w:cs="Arial"/>
          <w:sz w:val="24"/>
          <w:szCs w:val="24"/>
          <w:lang w:val="en-GB"/>
        </w:rPr>
      </w:pPr>
      <w:proofErr w:type="spellStart"/>
      <w:r w:rsidRPr="00791783">
        <w:rPr>
          <w:rFonts w:ascii="Arial" w:eastAsia="Arial" w:hAnsi="Arial" w:cs="Arial"/>
          <w:sz w:val="24"/>
          <w:szCs w:val="24"/>
        </w:rPr>
        <w:t>Giudice</w:t>
      </w:r>
      <w:proofErr w:type="spellEnd"/>
      <w:r w:rsidRPr="00791783">
        <w:rPr>
          <w:rFonts w:ascii="Arial" w:eastAsia="Arial" w:hAnsi="Arial" w:cs="Arial"/>
          <w:sz w:val="24"/>
          <w:szCs w:val="24"/>
        </w:rPr>
        <w:t>, J.</w:t>
      </w:r>
      <w:r w:rsidR="000E350C">
        <w:rPr>
          <w:rFonts w:ascii="Arial" w:eastAsia="Arial" w:hAnsi="Arial" w:cs="Arial"/>
          <w:sz w:val="24"/>
          <w:szCs w:val="24"/>
        </w:rPr>
        <w:t xml:space="preserve"> y</w:t>
      </w:r>
      <w:r w:rsidRPr="00791783">
        <w:rPr>
          <w:rFonts w:ascii="Arial" w:eastAsia="Arial" w:hAnsi="Arial" w:cs="Arial"/>
          <w:sz w:val="24"/>
          <w:szCs w:val="24"/>
        </w:rPr>
        <w:t xml:space="preserve"> González, I. (2023). Educación superior en la región: heterogeneidades, desafíos y transformaciones. </w:t>
      </w:r>
      <w:r w:rsidRPr="00791783">
        <w:rPr>
          <w:rFonts w:ascii="Arial" w:eastAsia="Arial" w:hAnsi="Arial" w:cs="Arial"/>
          <w:i/>
          <w:iCs/>
          <w:sz w:val="24"/>
          <w:szCs w:val="24"/>
        </w:rPr>
        <w:t>Integración y Conocimiento: Revista del Núcleo de Estudios e Investigaciones en Educación Superior de Mercosur</w:t>
      </w:r>
      <w:r w:rsidRPr="00791783">
        <w:rPr>
          <w:rFonts w:ascii="Arial" w:eastAsia="Arial" w:hAnsi="Arial" w:cs="Arial"/>
          <w:sz w:val="24"/>
          <w:szCs w:val="24"/>
        </w:rPr>
        <w:t>, </w:t>
      </w:r>
      <w:r w:rsidRPr="00791783">
        <w:rPr>
          <w:rFonts w:ascii="Arial" w:eastAsia="Arial" w:hAnsi="Arial" w:cs="Arial"/>
          <w:i/>
          <w:iCs/>
          <w:sz w:val="24"/>
          <w:szCs w:val="24"/>
        </w:rPr>
        <w:t>12</w:t>
      </w:r>
      <w:r w:rsidRPr="00791783">
        <w:rPr>
          <w:rFonts w:ascii="Arial" w:eastAsia="Arial" w:hAnsi="Arial" w:cs="Arial"/>
          <w:sz w:val="24"/>
          <w:szCs w:val="24"/>
        </w:rPr>
        <w:t>(2), 188-210.</w:t>
      </w:r>
      <w:r w:rsidRPr="00791783">
        <w:t xml:space="preserve"> </w:t>
      </w:r>
      <w:hyperlink r:id="rId10" w:history="1">
        <w:r w:rsidRPr="00D92A72">
          <w:rPr>
            <w:rStyle w:val="Hipervnculo"/>
            <w:rFonts w:ascii="Arial" w:eastAsia="Arial" w:hAnsi="Arial" w:cs="Arial"/>
            <w:sz w:val="24"/>
            <w:szCs w:val="24"/>
            <w:lang w:val="en-GB"/>
          </w:rPr>
          <w:t>https://doi.org/10.61203/2347-0658.v12.n2.42052</w:t>
        </w:r>
      </w:hyperlink>
    </w:p>
    <w:p w14:paraId="3BDD955D" w14:textId="0F2A9D83" w:rsidR="00400F4D" w:rsidRPr="00400F4D" w:rsidRDefault="00400F4D" w:rsidP="00400F4D">
      <w:pPr>
        <w:spacing w:line="360" w:lineRule="auto"/>
        <w:rPr>
          <w:rFonts w:ascii="Arial" w:eastAsia="Arial" w:hAnsi="Arial" w:cs="Arial"/>
          <w:sz w:val="24"/>
          <w:szCs w:val="24"/>
        </w:rPr>
      </w:pPr>
      <w:proofErr w:type="spellStart"/>
      <w:r w:rsidRPr="00D92A72">
        <w:rPr>
          <w:rFonts w:ascii="Arial" w:eastAsia="Arial" w:hAnsi="Arial" w:cs="Arial"/>
          <w:sz w:val="24"/>
          <w:szCs w:val="24"/>
          <w:lang w:val="en-GB"/>
        </w:rPr>
        <w:t>Halliday</w:t>
      </w:r>
      <w:proofErr w:type="spellEnd"/>
      <w:r w:rsidRPr="00D92A72">
        <w:rPr>
          <w:rFonts w:ascii="Arial" w:eastAsia="Arial" w:hAnsi="Arial" w:cs="Arial"/>
          <w:sz w:val="24"/>
          <w:szCs w:val="24"/>
          <w:lang w:val="en-GB"/>
        </w:rPr>
        <w:t>, M. A. K.</w:t>
      </w:r>
      <w:r w:rsidR="000E350C" w:rsidRPr="00D92A72">
        <w:rPr>
          <w:rFonts w:ascii="Arial" w:eastAsia="Arial" w:hAnsi="Arial" w:cs="Arial"/>
          <w:sz w:val="24"/>
          <w:szCs w:val="24"/>
          <w:lang w:val="en-GB"/>
        </w:rPr>
        <w:t xml:space="preserve"> y</w:t>
      </w:r>
      <w:r w:rsidRPr="00D92A72">
        <w:rPr>
          <w:rFonts w:ascii="Arial" w:eastAsia="Arial" w:hAnsi="Arial" w:cs="Arial"/>
          <w:sz w:val="24"/>
          <w:szCs w:val="24"/>
          <w:lang w:val="en-GB"/>
        </w:rPr>
        <w:t xml:space="preserve"> </w:t>
      </w:r>
      <w:proofErr w:type="spellStart"/>
      <w:r w:rsidRPr="00D92A72">
        <w:rPr>
          <w:rFonts w:ascii="Arial" w:eastAsia="Arial" w:hAnsi="Arial" w:cs="Arial"/>
          <w:sz w:val="24"/>
          <w:szCs w:val="24"/>
          <w:lang w:val="en-GB"/>
        </w:rPr>
        <w:t>Matthiessen</w:t>
      </w:r>
      <w:proofErr w:type="spellEnd"/>
      <w:r w:rsidRPr="00D92A72">
        <w:rPr>
          <w:rFonts w:ascii="Arial" w:eastAsia="Arial" w:hAnsi="Arial" w:cs="Arial"/>
          <w:sz w:val="24"/>
          <w:szCs w:val="24"/>
          <w:lang w:val="en-GB"/>
        </w:rPr>
        <w:t xml:space="preserve">, C. (2014). </w:t>
      </w:r>
      <w:proofErr w:type="spellStart"/>
      <w:r w:rsidRPr="00D92A72">
        <w:rPr>
          <w:rFonts w:ascii="Arial" w:eastAsia="Arial" w:hAnsi="Arial" w:cs="Arial"/>
          <w:i/>
          <w:iCs/>
          <w:sz w:val="24"/>
          <w:szCs w:val="24"/>
          <w:lang w:val="en-GB"/>
        </w:rPr>
        <w:t>Halliday’s</w:t>
      </w:r>
      <w:proofErr w:type="spellEnd"/>
      <w:r w:rsidRPr="00D92A72">
        <w:rPr>
          <w:rFonts w:ascii="Arial" w:eastAsia="Arial" w:hAnsi="Arial" w:cs="Arial"/>
          <w:i/>
          <w:iCs/>
          <w:sz w:val="24"/>
          <w:szCs w:val="24"/>
          <w:lang w:val="en-GB"/>
        </w:rPr>
        <w:t xml:space="preserve"> introduction to functional grammar</w:t>
      </w:r>
      <w:r w:rsidRPr="00D92A72">
        <w:rPr>
          <w:rFonts w:ascii="Arial" w:eastAsia="Arial" w:hAnsi="Arial" w:cs="Arial"/>
          <w:sz w:val="24"/>
          <w:szCs w:val="24"/>
          <w:lang w:val="en-GB"/>
        </w:rPr>
        <w:t xml:space="preserve">. </w:t>
      </w:r>
      <w:proofErr w:type="spellStart"/>
      <w:r w:rsidRPr="00400F4D">
        <w:rPr>
          <w:rFonts w:ascii="Arial" w:eastAsia="Arial" w:hAnsi="Arial" w:cs="Arial"/>
          <w:sz w:val="24"/>
          <w:szCs w:val="24"/>
        </w:rPr>
        <w:t>Routledge</w:t>
      </w:r>
      <w:proofErr w:type="spellEnd"/>
      <w:r w:rsidRPr="00400F4D">
        <w:rPr>
          <w:rFonts w:ascii="Arial" w:eastAsia="Arial" w:hAnsi="Arial" w:cs="Arial"/>
          <w:sz w:val="24"/>
          <w:szCs w:val="24"/>
        </w:rPr>
        <w:t>.</w:t>
      </w:r>
    </w:p>
    <w:p w14:paraId="4A4DFCD7" w14:textId="4338C1E6" w:rsidR="001E534A" w:rsidRDefault="00AE5867" w:rsidP="00F1523C">
      <w:pPr>
        <w:spacing w:line="360" w:lineRule="auto"/>
        <w:jc w:val="both"/>
        <w:rPr>
          <w:rFonts w:ascii="Arial" w:eastAsia="Arial" w:hAnsi="Arial" w:cs="Arial"/>
          <w:sz w:val="24"/>
          <w:szCs w:val="24"/>
        </w:rPr>
      </w:pPr>
      <w:bookmarkStart w:id="2" w:name="_Hlk227155965"/>
      <w:proofErr w:type="spellStart"/>
      <w:r w:rsidRPr="00AE5867">
        <w:rPr>
          <w:rFonts w:ascii="Arial" w:eastAsia="Arial" w:hAnsi="Arial" w:cs="Arial"/>
          <w:sz w:val="24"/>
          <w:szCs w:val="24"/>
        </w:rPr>
        <w:lastRenderedPageBreak/>
        <w:t>Hamel</w:t>
      </w:r>
      <w:proofErr w:type="spellEnd"/>
      <w:r w:rsidRPr="00AE5867">
        <w:rPr>
          <w:rFonts w:ascii="Arial" w:eastAsia="Arial" w:hAnsi="Arial" w:cs="Arial"/>
          <w:sz w:val="24"/>
          <w:szCs w:val="24"/>
        </w:rPr>
        <w:t>, R. E. (2013</w:t>
      </w:r>
      <w:bookmarkEnd w:id="2"/>
      <w:r w:rsidRPr="00AE5867">
        <w:rPr>
          <w:rFonts w:ascii="Arial" w:eastAsia="Arial" w:hAnsi="Arial" w:cs="Arial"/>
          <w:sz w:val="24"/>
          <w:szCs w:val="24"/>
        </w:rPr>
        <w:t>). El campo de las ciencias y la educación superior entre el monopolio del inglés y el plurilingüismo: elementos para una política del lenguaje en América Latina. </w:t>
      </w:r>
      <w:proofErr w:type="spellStart"/>
      <w:r w:rsidRPr="00AE5867">
        <w:rPr>
          <w:rFonts w:ascii="Arial" w:eastAsia="Arial" w:hAnsi="Arial" w:cs="Arial"/>
          <w:i/>
          <w:iCs/>
          <w:sz w:val="24"/>
          <w:szCs w:val="24"/>
        </w:rPr>
        <w:t>Trabalhos</w:t>
      </w:r>
      <w:proofErr w:type="spellEnd"/>
      <w:r w:rsidRPr="00AE5867">
        <w:rPr>
          <w:rFonts w:ascii="Arial" w:eastAsia="Arial" w:hAnsi="Arial" w:cs="Arial"/>
          <w:i/>
          <w:iCs/>
          <w:sz w:val="24"/>
          <w:szCs w:val="24"/>
        </w:rPr>
        <w:t xml:space="preserve"> </w:t>
      </w:r>
      <w:proofErr w:type="spellStart"/>
      <w:r w:rsidRPr="00AE5867">
        <w:rPr>
          <w:rFonts w:ascii="Arial" w:eastAsia="Arial" w:hAnsi="Arial" w:cs="Arial"/>
          <w:i/>
          <w:iCs/>
          <w:sz w:val="24"/>
          <w:szCs w:val="24"/>
        </w:rPr>
        <w:t>em</w:t>
      </w:r>
      <w:proofErr w:type="spellEnd"/>
      <w:r w:rsidRPr="00AE5867">
        <w:rPr>
          <w:rFonts w:ascii="Arial" w:eastAsia="Arial" w:hAnsi="Arial" w:cs="Arial"/>
          <w:i/>
          <w:iCs/>
          <w:sz w:val="24"/>
          <w:szCs w:val="24"/>
        </w:rPr>
        <w:t xml:space="preserve"> </w:t>
      </w:r>
      <w:proofErr w:type="spellStart"/>
      <w:r w:rsidRPr="00AE5867">
        <w:rPr>
          <w:rFonts w:ascii="Arial" w:eastAsia="Arial" w:hAnsi="Arial" w:cs="Arial"/>
          <w:i/>
          <w:iCs/>
          <w:sz w:val="24"/>
          <w:szCs w:val="24"/>
        </w:rPr>
        <w:t>linguística</w:t>
      </w:r>
      <w:proofErr w:type="spellEnd"/>
      <w:r w:rsidRPr="00AE5867">
        <w:rPr>
          <w:rFonts w:ascii="Arial" w:eastAsia="Arial" w:hAnsi="Arial" w:cs="Arial"/>
          <w:i/>
          <w:iCs/>
          <w:sz w:val="24"/>
          <w:szCs w:val="24"/>
        </w:rPr>
        <w:t xml:space="preserve"> aplicada</w:t>
      </w:r>
      <w:r w:rsidRPr="00AE5867">
        <w:rPr>
          <w:rFonts w:ascii="Arial" w:eastAsia="Arial" w:hAnsi="Arial" w:cs="Arial"/>
          <w:sz w:val="24"/>
          <w:szCs w:val="24"/>
        </w:rPr>
        <w:t>, </w:t>
      </w:r>
      <w:r w:rsidRPr="00AE5867">
        <w:rPr>
          <w:rFonts w:ascii="Arial" w:eastAsia="Arial" w:hAnsi="Arial" w:cs="Arial"/>
          <w:i/>
          <w:iCs/>
          <w:sz w:val="24"/>
          <w:szCs w:val="24"/>
        </w:rPr>
        <w:t>52</w:t>
      </w:r>
      <w:r w:rsidRPr="00AE5867">
        <w:rPr>
          <w:rFonts w:ascii="Arial" w:eastAsia="Arial" w:hAnsi="Arial" w:cs="Arial"/>
          <w:sz w:val="24"/>
          <w:szCs w:val="24"/>
        </w:rPr>
        <w:t>, 321-384.</w:t>
      </w:r>
    </w:p>
    <w:p w14:paraId="6AB624E1" w14:textId="77777777" w:rsidR="00F1523C" w:rsidRPr="0073272A" w:rsidRDefault="00F1523C" w:rsidP="00F1523C">
      <w:pPr>
        <w:spacing w:line="360" w:lineRule="auto"/>
        <w:jc w:val="both"/>
        <w:rPr>
          <w:rFonts w:ascii="Arial" w:eastAsia="Arial" w:hAnsi="Arial" w:cs="Arial"/>
          <w:sz w:val="24"/>
          <w:szCs w:val="24"/>
        </w:rPr>
      </w:pPr>
      <w:proofErr w:type="spellStart"/>
      <w:r w:rsidRPr="00F1523C">
        <w:rPr>
          <w:rFonts w:ascii="Arial" w:eastAsia="Arial" w:hAnsi="Arial" w:cs="Arial"/>
          <w:sz w:val="24"/>
          <w:szCs w:val="24"/>
        </w:rPr>
        <w:t>Melfi</w:t>
      </w:r>
      <w:proofErr w:type="spellEnd"/>
      <w:r w:rsidRPr="00F1523C">
        <w:rPr>
          <w:rFonts w:ascii="Arial" w:eastAsia="Arial" w:hAnsi="Arial" w:cs="Arial"/>
          <w:sz w:val="24"/>
          <w:szCs w:val="24"/>
        </w:rPr>
        <w:t xml:space="preserve">, G., </w:t>
      </w:r>
      <w:proofErr w:type="spellStart"/>
      <w:r w:rsidRPr="00F1523C">
        <w:rPr>
          <w:rFonts w:ascii="Arial" w:eastAsia="Arial" w:hAnsi="Arial" w:cs="Arial"/>
          <w:sz w:val="24"/>
          <w:szCs w:val="24"/>
        </w:rPr>
        <w:t>Gennuso</w:t>
      </w:r>
      <w:proofErr w:type="spellEnd"/>
      <w:r w:rsidRPr="00F1523C">
        <w:rPr>
          <w:rFonts w:ascii="Arial" w:eastAsia="Arial" w:hAnsi="Arial" w:cs="Arial"/>
          <w:sz w:val="24"/>
          <w:szCs w:val="24"/>
        </w:rPr>
        <w:t>, L., Sala, D., Díaz, C.</w:t>
      </w:r>
      <w:r>
        <w:rPr>
          <w:rFonts w:ascii="Arial" w:eastAsia="Arial" w:hAnsi="Arial" w:cs="Arial"/>
          <w:sz w:val="24"/>
          <w:szCs w:val="24"/>
        </w:rPr>
        <w:t xml:space="preserve"> y</w:t>
      </w:r>
      <w:r w:rsidRPr="00F1523C">
        <w:rPr>
          <w:rFonts w:ascii="Arial" w:eastAsia="Arial" w:hAnsi="Arial" w:cs="Arial"/>
          <w:sz w:val="24"/>
          <w:szCs w:val="24"/>
        </w:rPr>
        <w:t xml:space="preserve"> </w:t>
      </w:r>
      <w:proofErr w:type="spellStart"/>
      <w:r w:rsidRPr="00F1523C">
        <w:rPr>
          <w:rFonts w:ascii="Arial" w:eastAsia="Arial" w:hAnsi="Arial" w:cs="Arial"/>
          <w:sz w:val="24"/>
          <w:szCs w:val="24"/>
        </w:rPr>
        <w:t>Cardós</w:t>
      </w:r>
      <w:proofErr w:type="spellEnd"/>
      <w:r w:rsidRPr="00F1523C">
        <w:rPr>
          <w:rFonts w:ascii="Arial" w:eastAsia="Arial" w:hAnsi="Arial" w:cs="Arial"/>
          <w:sz w:val="24"/>
          <w:szCs w:val="24"/>
        </w:rPr>
        <w:t xml:space="preserve">, P. (2025). Pensar la formación universitaria en clave de integralidad. Una introducción a las investigaciones, experiencias y reflexiones en desarrollo. </w:t>
      </w:r>
      <w:r>
        <w:rPr>
          <w:rFonts w:ascii="Arial" w:eastAsia="Arial" w:hAnsi="Arial" w:cs="Arial"/>
          <w:sz w:val="24"/>
          <w:szCs w:val="24"/>
        </w:rPr>
        <w:t xml:space="preserve">En: Giordano, C.; </w:t>
      </w:r>
      <w:proofErr w:type="spellStart"/>
      <w:r w:rsidRPr="00F1523C">
        <w:rPr>
          <w:rFonts w:ascii="Arial" w:eastAsia="Arial" w:hAnsi="Arial" w:cs="Arial"/>
          <w:sz w:val="24"/>
          <w:szCs w:val="24"/>
        </w:rPr>
        <w:t>Morandi</w:t>
      </w:r>
      <w:proofErr w:type="spellEnd"/>
      <w:r w:rsidRPr="00F1523C">
        <w:rPr>
          <w:rFonts w:ascii="Arial" w:eastAsia="Arial" w:hAnsi="Arial" w:cs="Arial"/>
          <w:sz w:val="24"/>
          <w:szCs w:val="24"/>
        </w:rPr>
        <w:t>, G</w:t>
      </w:r>
      <w:r>
        <w:rPr>
          <w:rFonts w:ascii="Arial" w:eastAsia="Arial" w:hAnsi="Arial" w:cs="Arial"/>
          <w:sz w:val="24"/>
          <w:szCs w:val="24"/>
        </w:rPr>
        <w:t xml:space="preserve">. y Gallo, L. </w:t>
      </w:r>
      <w:r w:rsidRPr="00F1523C">
        <w:rPr>
          <w:rFonts w:ascii="Arial" w:eastAsia="Arial" w:hAnsi="Arial" w:cs="Arial"/>
          <w:i/>
          <w:iCs/>
          <w:sz w:val="24"/>
          <w:szCs w:val="24"/>
        </w:rPr>
        <w:t>Integralidad: universidad, territorio y comunidad en la construcción de prácticas formativas integradas</w:t>
      </w:r>
      <w:r>
        <w:rPr>
          <w:rFonts w:ascii="Arial" w:eastAsia="Arial" w:hAnsi="Arial" w:cs="Arial"/>
          <w:sz w:val="24"/>
          <w:szCs w:val="24"/>
        </w:rPr>
        <w:t>.</w:t>
      </w:r>
      <w:r w:rsidRPr="00F1523C">
        <w:rPr>
          <w:rFonts w:ascii="Arial" w:eastAsia="Arial" w:hAnsi="Arial" w:cs="Arial"/>
          <w:sz w:val="24"/>
          <w:szCs w:val="24"/>
        </w:rPr>
        <w:t xml:space="preserve"> Secretaria de Asuntos Académicos</w:t>
      </w:r>
      <w:r>
        <w:rPr>
          <w:rFonts w:ascii="Arial" w:eastAsia="Arial" w:hAnsi="Arial" w:cs="Arial"/>
          <w:sz w:val="24"/>
          <w:szCs w:val="24"/>
        </w:rPr>
        <w:t>,</w:t>
      </w:r>
      <w:r w:rsidRPr="00F1523C">
        <w:rPr>
          <w:rFonts w:ascii="Arial" w:eastAsia="Arial" w:hAnsi="Arial" w:cs="Arial"/>
          <w:sz w:val="24"/>
          <w:szCs w:val="24"/>
        </w:rPr>
        <w:t xml:space="preserve"> Universidad Nacional de La Plata, </w:t>
      </w:r>
      <w:r>
        <w:rPr>
          <w:rFonts w:ascii="Arial" w:eastAsia="Arial" w:hAnsi="Arial" w:cs="Arial"/>
          <w:sz w:val="24"/>
          <w:szCs w:val="24"/>
        </w:rPr>
        <w:t xml:space="preserve">p. </w:t>
      </w:r>
      <w:r w:rsidRPr="00F1523C">
        <w:rPr>
          <w:rFonts w:ascii="Arial" w:eastAsia="Arial" w:hAnsi="Arial" w:cs="Arial"/>
          <w:sz w:val="24"/>
          <w:szCs w:val="24"/>
        </w:rPr>
        <w:t>11</w:t>
      </w:r>
      <w:r>
        <w:rPr>
          <w:rFonts w:ascii="Arial" w:eastAsia="Arial" w:hAnsi="Arial" w:cs="Arial"/>
          <w:sz w:val="24"/>
          <w:szCs w:val="24"/>
        </w:rPr>
        <w:t>-15</w:t>
      </w:r>
      <w:r w:rsidRPr="00F1523C">
        <w:rPr>
          <w:rFonts w:ascii="Arial" w:eastAsia="Arial" w:hAnsi="Arial" w:cs="Arial"/>
          <w:sz w:val="24"/>
          <w:szCs w:val="24"/>
        </w:rPr>
        <w:t>.</w:t>
      </w:r>
      <w:r w:rsidRPr="00F1523C">
        <w:t xml:space="preserve"> </w:t>
      </w:r>
      <w:r w:rsidRPr="00F1523C">
        <w:rPr>
          <w:rFonts w:ascii="Arial" w:eastAsia="Arial" w:hAnsi="Arial" w:cs="Arial"/>
          <w:sz w:val="24"/>
          <w:szCs w:val="24"/>
        </w:rPr>
        <w:t>https://sedici.unlp.edu.ar/bitstream/handle/10915/177046/Documento_completo.pdf-PDFA.pdf?sequence=1#page=11</w:t>
      </w:r>
    </w:p>
    <w:p w14:paraId="3D2982AE" w14:textId="77777777" w:rsidR="00400F4D" w:rsidRDefault="00400F4D" w:rsidP="00400F4D">
      <w:pPr>
        <w:spacing w:line="360" w:lineRule="auto"/>
        <w:rPr>
          <w:rFonts w:ascii="Arial" w:eastAsia="Arial" w:hAnsi="Arial" w:cs="Arial"/>
          <w:sz w:val="24"/>
          <w:szCs w:val="24"/>
        </w:rPr>
      </w:pPr>
    </w:p>
    <w:sectPr w:rsidR="00400F4D">
      <w:headerReference w:type="default" r:id="rId11"/>
      <w:footerReference w:type="default" r:id="rId12"/>
      <w:pgSz w:w="12240" w:h="15840"/>
      <w:pgMar w:top="1417" w:right="1417" w:bottom="1417" w:left="1417"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874771" w16cex:dateUtc="2026-04-15T17:38:00Z"/>
  <w16cex:commentExtensible w16cex:durableId="1DC2933D" w16cex:dateUtc="2026-04-15T17:44:00Z"/>
  <w16cex:commentExtensible w16cex:durableId="0B406EA5" w16cex:dateUtc="2026-04-15T1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AEBA89" w16cid:durableId="05874771"/>
  <w16cid:commentId w16cid:paraId="6438BBF5" w16cid:durableId="1DC2933D"/>
  <w16cid:commentId w16cid:paraId="35433A62" w16cid:durableId="0B406EA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BFA4F" w14:textId="77777777" w:rsidR="00403801" w:rsidRDefault="00403801">
      <w:pPr>
        <w:spacing w:after="0" w:line="240" w:lineRule="auto"/>
      </w:pPr>
      <w:r>
        <w:separator/>
      </w:r>
    </w:p>
  </w:endnote>
  <w:endnote w:type="continuationSeparator" w:id="0">
    <w:p w14:paraId="13308627" w14:textId="77777777" w:rsidR="00403801" w:rsidRDefault="00403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embedRegular r:id="rId1" w:fontKey="{90DA52B3-7F8F-47A4-8E9F-1A03AD2913A9}"/>
    <w:embedBold r:id="rId2" w:fontKey="{EECFAA3A-7A27-49F7-9EF2-06B13A701AEF}"/>
    <w:embedItalic r:id="rId3" w:fontKey="{E42D0615-4B1A-4338-BC7A-AC460C67C0B0}"/>
    <w:embedBoldItalic r:id="rId4" w:fontKey="{362E3599-CA12-43E3-A5E6-294E8AF05EB9}"/>
  </w:font>
  <w:font w:name="Calibri">
    <w:panose1 w:val="020F0502020204030204"/>
    <w:charset w:val="00"/>
    <w:family w:val="swiss"/>
    <w:pitch w:val="variable"/>
    <w:sig w:usb0="E4002EFF" w:usb1="C000247B" w:usb2="00000009" w:usb3="00000000" w:csb0="000001FF" w:csb1="00000000"/>
    <w:embedRegular r:id="rId5" w:fontKey="{9004113E-8B5A-4CD8-869F-CB740016D7A1}"/>
    <w:embedBold r:id="rId6" w:fontKey="{F26CD7B4-BB7D-46BA-9EBF-5D2F6F5AE56B}"/>
    <w:embedItalic r:id="rId7" w:fontKey="{B1A7B357-C427-4A98-91FD-E3297BBFF59B}"/>
    <w:embedBoldItalic r:id="rId8" w:fontKey="{48944ABD-C8D0-42D4-BA7B-1A629007A1C7}"/>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9" w:fontKey="{416AFF6A-8EBF-40C0-9986-33A9669E4B3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10DDA" w14:textId="77777777" w:rsidR="00351F0F" w:rsidRDefault="006B5AB9">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Instituto de la Educación y del Conocimiento</w:t>
    </w:r>
  </w:p>
  <w:p w14:paraId="67AD14AC" w14:textId="77777777" w:rsidR="00351F0F" w:rsidRDefault="006B5AB9">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Universidad Nacional de Tierra del Fuego, Antártida e Islas del Atlántico Sur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07F21" w14:textId="77777777" w:rsidR="00403801" w:rsidRDefault="00403801">
      <w:pPr>
        <w:spacing w:after="0" w:line="240" w:lineRule="auto"/>
      </w:pPr>
      <w:r>
        <w:separator/>
      </w:r>
    </w:p>
  </w:footnote>
  <w:footnote w:type="continuationSeparator" w:id="0">
    <w:p w14:paraId="55AEBCCC" w14:textId="77777777" w:rsidR="00403801" w:rsidRDefault="00403801">
      <w:pPr>
        <w:spacing w:after="0" w:line="240" w:lineRule="auto"/>
      </w:pPr>
      <w:r>
        <w:continuationSeparator/>
      </w:r>
    </w:p>
  </w:footnote>
  <w:footnote w:id="1">
    <w:p w14:paraId="573124DF" w14:textId="77777777" w:rsidR="00351F0F" w:rsidRDefault="006B5AB9">
      <w:pPr>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footnote>
  <w:footnote w:id="2">
    <w:p w14:paraId="13606212" w14:textId="77777777" w:rsidR="00351F0F" w:rsidRDefault="006B5AB9">
      <w:pPr>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footnote>
  <w:footnote w:id="3">
    <w:p w14:paraId="739F04F5" w14:textId="77777777" w:rsidR="00351F0F" w:rsidRDefault="006B5AB9">
      <w:pPr>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p w14:paraId="368E2297" w14:textId="77777777" w:rsidR="00351F0F" w:rsidRDefault="00351F0F">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D8058" w14:textId="77777777" w:rsidR="00351F0F" w:rsidRDefault="006B5AB9">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25E489ED" wp14:editId="4B8C0F3B">
          <wp:simplePos x="0" y="0"/>
          <wp:positionH relativeFrom="column">
            <wp:posOffset>909568</wp:posOffset>
          </wp:positionH>
          <wp:positionV relativeFrom="paragraph">
            <wp:posOffset>-125094</wp:posOffset>
          </wp:positionV>
          <wp:extent cx="4332605" cy="1246505"/>
          <wp:effectExtent l="0" t="0" r="0" b="0"/>
          <wp:wrapSquare wrapText="bothSides" distT="0" distB="0" distL="114300" distR="114300"/>
          <wp:docPr id="19756432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32605" cy="124650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C72B48"/>
    <w:multiLevelType w:val="multilevel"/>
    <w:tmpl w:val="33EC303E"/>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F0F"/>
    <w:rsid w:val="00092EEF"/>
    <w:rsid w:val="000B188D"/>
    <w:rsid w:val="000E350C"/>
    <w:rsid w:val="001159BC"/>
    <w:rsid w:val="001D7966"/>
    <w:rsid w:val="001E534A"/>
    <w:rsid w:val="001E5E3D"/>
    <w:rsid w:val="00244926"/>
    <w:rsid w:val="00246852"/>
    <w:rsid w:val="00273EE6"/>
    <w:rsid w:val="00336ABA"/>
    <w:rsid w:val="00351F0F"/>
    <w:rsid w:val="003A2EC2"/>
    <w:rsid w:val="003B0CF1"/>
    <w:rsid w:val="00400F4D"/>
    <w:rsid w:val="00403801"/>
    <w:rsid w:val="00566EAF"/>
    <w:rsid w:val="006B5AB9"/>
    <w:rsid w:val="0073272A"/>
    <w:rsid w:val="00791783"/>
    <w:rsid w:val="008B37B2"/>
    <w:rsid w:val="00A37C83"/>
    <w:rsid w:val="00A52002"/>
    <w:rsid w:val="00A649D6"/>
    <w:rsid w:val="00AE5867"/>
    <w:rsid w:val="00AF0A0C"/>
    <w:rsid w:val="00B51E8F"/>
    <w:rsid w:val="00B85FD8"/>
    <w:rsid w:val="00C0560F"/>
    <w:rsid w:val="00D8384F"/>
    <w:rsid w:val="00D8457B"/>
    <w:rsid w:val="00D92A72"/>
    <w:rsid w:val="00E70BDF"/>
    <w:rsid w:val="00F1523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C7452"/>
  <w15:docId w15:val="{DABF22EA-31B8-4752-8631-EFBDD29A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2"/>
        <w:szCs w:val="22"/>
        <w:lang w:val="es-AR" w:eastAsia="es-A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Fuentedeprrafopredeter"/>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tabs>
        <w:tab w:val="num" w:pos="720"/>
      </w:tabs>
      <w:ind w:left="720" w:hanging="720"/>
      <w:contextualSpacing/>
    </w:pPr>
  </w:style>
  <w:style w:type="paragraph" w:styleId="Listaconvietas3">
    <w:name w:val="List Bullet 3"/>
    <w:basedOn w:val="Normal"/>
    <w:uiPriority w:val="99"/>
    <w:unhideWhenUsed/>
    <w:rsid w:val="00326F90"/>
    <w:pPr>
      <w:tabs>
        <w:tab w:val="num" w:pos="720"/>
      </w:tabs>
      <w:ind w:left="720" w:hanging="720"/>
      <w:contextualSpacing/>
    </w:pPr>
  </w:style>
  <w:style w:type="paragraph" w:styleId="Listaconnmeros">
    <w:name w:val="List Number"/>
    <w:basedOn w:val="Normal"/>
    <w:uiPriority w:val="99"/>
    <w:unhideWhenUsed/>
    <w:rsid w:val="00326F90"/>
    <w:pPr>
      <w:tabs>
        <w:tab w:val="num" w:pos="720"/>
      </w:tabs>
      <w:ind w:left="720" w:hanging="720"/>
      <w:contextualSpacing/>
    </w:pPr>
  </w:style>
  <w:style w:type="paragraph" w:styleId="Listaconnmeros2">
    <w:name w:val="List Number 2"/>
    <w:basedOn w:val="Normal"/>
    <w:uiPriority w:val="99"/>
    <w:unhideWhenUsed/>
    <w:rsid w:val="0029639D"/>
    <w:pPr>
      <w:tabs>
        <w:tab w:val="num" w:pos="720"/>
      </w:tabs>
      <w:ind w:left="720" w:hanging="720"/>
      <w:contextualSpacing/>
    </w:pPr>
  </w:style>
  <w:style w:type="paragraph" w:styleId="Listaconnmeros3">
    <w:name w:val="List Number 3"/>
    <w:basedOn w:val="Normal"/>
    <w:uiPriority w:val="99"/>
    <w:unhideWhenUsed/>
    <w:rsid w:val="0029639D"/>
    <w:pPr>
      <w:tabs>
        <w:tab w:val="num" w:pos="720"/>
      </w:tabs>
      <w:ind w:left="720" w:hanging="720"/>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next w:val="Normal"/>
    <w:uiPriority w:val="39"/>
    <w:semiHidden/>
    <w:unhideWhenUsed/>
    <w:qFormat/>
    <w:rsid w:val="00FC693F"/>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paragraph" w:styleId="Subttulo">
    <w:name w:val="Subtitle"/>
    <w:basedOn w:val="Normal"/>
    <w:next w:val="Normal"/>
    <w:uiPriority w:val="11"/>
    <w:qFormat/>
    <w:rPr>
      <w:rFonts w:ascii="Calibri" w:eastAsia="Calibri" w:hAnsi="Calibri" w:cs="Calibri"/>
      <w:i/>
      <w:iCs/>
      <w:color w:val="4F81BD"/>
      <w:sz w:val="24"/>
      <w:szCs w:val="24"/>
    </w:rPr>
  </w:style>
  <w:style w:type="character" w:styleId="Hipervnculo">
    <w:name w:val="Hyperlink"/>
    <w:basedOn w:val="Fuentedeprrafopredeter"/>
    <w:uiPriority w:val="99"/>
    <w:unhideWhenUsed/>
    <w:rsid w:val="00400F4D"/>
    <w:rPr>
      <w:color w:val="0000FF" w:themeColor="hyperlink"/>
      <w:u w:val="single"/>
    </w:rPr>
  </w:style>
  <w:style w:type="character" w:customStyle="1" w:styleId="UnresolvedMention">
    <w:name w:val="Unresolved Mention"/>
    <w:basedOn w:val="Fuentedeprrafopredeter"/>
    <w:uiPriority w:val="99"/>
    <w:semiHidden/>
    <w:unhideWhenUsed/>
    <w:rsid w:val="00400F4D"/>
    <w:rPr>
      <w:color w:val="605E5C"/>
      <w:shd w:val="clear" w:color="auto" w:fill="E1DFDD"/>
    </w:rPr>
  </w:style>
  <w:style w:type="character" w:styleId="Refdecomentario">
    <w:name w:val="annotation reference"/>
    <w:basedOn w:val="Fuentedeprrafopredeter"/>
    <w:uiPriority w:val="99"/>
    <w:semiHidden/>
    <w:unhideWhenUsed/>
    <w:rsid w:val="00AE5867"/>
    <w:rPr>
      <w:sz w:val="16"/>
      <w:szCs w:val="16"/>
    </w:rPr>
  </w:style>
  <w:style w:type="paragraph" w:styleId="Textocomentario">
    <w:name w:val="annotation text"/>
    <w:basedOn w:val="Normal"/>
    <w:link w:val="TextocomentarioCar"/>
    <w:uiPriority w:val="99"/>
    <w:semiHidden/>
    <w:unhideWhenUsed/>
    <w:rsid w:val="00AE586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5867"/>
    <w:rPr>
      <w:sz w:val="20"/>
      <w:szCs w:val="20"/>
    </w:rPr>
  </w:style>
  <w:style w:type="paragraph" w:styleId="Asuntodelcomentario">
    <w:name w:val="annotation subject"/>
    <w:basedOn w:val="Textocomentario"/>
    <w:next w:val="Textocomentario"/>
    <w:link w:val="AsuntodelcomentarioCar"/>
    <w:uiPriority w:val="99"/>
    <w:semiHidden/>
    <w:unhideWhenUsed/>
    <w:rsid w:val="00AE5867"/>
    <w:rPr>
      <w:b/>
      <w:bCs/>
    </w:rPr>
  </w:style>
  <w:style w:type="character" w:customStyle="1" w:styleId="AsuntodelcomentarioCar">
    <w:name w:val="Asunto del comentario Car"/>
    <w:basedOn w:val="TextocomentarioCar"/>
    <w:link w:val="Asuntodelcomentario"/>
    <w:uiPriority w:val="99"/>
    <w:semiHidden/>
    <w:rsid w:val="00AE5867"/>
    <w:rPr>
      <w:b/>
      <w:bCs/>
      <w:sz w:val="20"/>
      <w:szCs w:val="20"/>
    </w:rPr>
  </w:style>
  <w:style w:type="paragraph" w:styleId="Textodeglobo">
    <w:name w:val="Balloon Text"/>
    <w:basedOn w:val="Normal"/>
    <w:link w:val="TextodegloboCar"/>
    <w:uiPriority w:val="99"/>
    <w:semiHidden/>
    <w:unhideWhenUsed/>
    <w:rsid w:val="00D92A7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2A72"/>
    <w:rPr>
      <w:rFonts w:ascii="Segoe UI" w:hAnsi="Segoe UI" w:cs="Segoe UI"/>
      <w:sz w:val="18"/>
      <w:szCs w:val="18"/>
    </w:rPr>
  </w:style>
  <w:style w:type="paragraph" w:styleId="NormalWeb">
    <w:name w:val="Normal (Web)"/>
    <w:basedOn w:val="Normal"/>
    <w:uiPriority w:val="99"/>
    <w:unhideWhenUsed/>
    <w:rsid w:val="00336A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20043">
      <w:bodyDiv w:val="1"/>
      <w:marLeft w:val="0"/>
      <w:marRight w:val="0"/>
      <w:marTop w:val="0"/>
      <w:marBottom w:val="0"/>
      <w:divBdr>
        <w:top w:val="none" w:sz="0" w:space="0" w:color="auto"/>
        <w:left w:val="none" w:sz="0" w:space="0" w:color="auto"/>
        <w:bottom w:val="none" w:sz="0" w:space="0" w:color="auto"/>
        <w:right w:val="none" w:sz="0" w:space="0" w:color="auto"/>
      </w:divBdr>
    </w:div>
    <w:div w:id="452671056">
      <w:bodyDiv w:val="1"/>
      <w:marLeft w:val="0"/>
      <w:marRight w:val="0"/>
      <w:marTop w:val="0"/>
      <w:marBottom w:val="0"/>
      <w:divBdr>
        <w:top w:val="none" w:sz="0" w:space="0" w:color="auto"/>
        <w:left w:val="none" w:sz="0" w:space="0" w:color="auto"/>
        <w:bottom w:val="none" w:sz="0" w:space="0" w:color="auto"/>
        <w:right w:val="none" w:sz="0" w:space="0" w:color="auto"/>
      </w:divBdr>
    </w:div>
    <w:div w:id="919172226">
      <w:bodyDiv w:val="1"/>
      <w:marLeft w:val="0"/>
      <w:marRight w:val="0"/>
      <w:marTop w:val="0"/>
      <w:marBottom w:val="0"/>
      <w:divBdr>
        <w:top w:val="none" w:sz="0" w:space="0" w:color="auto"/>
        <w:left w:val="none" w:sz="0" w:space="0" w:color="auto"/>
        <w:bottom w:val="none" w:sz="0" w:space="0" w:color="auto"/>
        <w:right w:val="none" w:sz="0" w:space="0" w:color="auto"/>
      </w:divBdr>
    </w:div>
    <w:div w:id="1165979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palazzo.wordpress.com/wp-content/uploads/2013/07/primeros-pasos-en-la-u.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s://doi.org/10.61203/2347-0658.v12.n2.42052" TargetMode="External"/><Relationship Id="rId4" Type="http://schemas.openxmlformats.org/officeDocument/2006/relationships/settings" Target="settings.xml"/><Relationship Id="rId9" Type="http://schemas.openxmlformats.org/officeDocument/2006/relationships/hyperlink" Target="https://hdl.handle.net/11117/1198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oFQlDcYrdgiVbKXAcCDR2S7U6w==">CgMxLjA4AHIhMVgtc296TjlZdHAxRUJqQWE5amw5NUFmWllJajNoZ2M5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2071</Words>
  <Characters>11391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cp:lastModifiedBy>usuario</cp:lastModifiedBy>
  <cp:revision>12</cp:revision>
  <dcterms:created xsi:type="dcterms:W3CDTF">2026-04-16T12:25:00Z</dcterms:created>
  <dcterms:modified xsi:type="dcterms:W3CDTF">2026-04-16T13:14:00Z</dcterms:modified>
</cp:coreProperties>
</file>