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87532" w14:textId="77777777" w:rsidR="00414A02" w:rsidRDefault="00414A02">
      <w:pPr>
        <w:spacing w:line="360" w:lineRule="auto"/>
        <w:jc w:val="center"/>
        <w:rPr>
          <w:rFonts w:ascii="Arial" w:eastAsia="Arial" w:hAnsi="Arial"/>
          <w:b/>
          <w:sz w:val="28"/>
          <w:lang w:val="es-AR"/>
        </w:rPr>
      </w:pPr>
    </w:p>
    <w:p w14:paraId="3EF05170" w14:textId="311867D0" w:rsidR="009A1CD2" w:rsidRDefault="00B04F30">
      <w:pPr>
        <w:spacing w:line="360" w:lineRule="auto"/>
        <w:jc w:val="center"/>
        <w:rPr>
          <w:rFonts w:ascii="Arial" w:eastAsia="Arial" w:hAnsi="Arial"/>
          <w:b/>
          <w:sz w:val="28"/>
          <w:szCs w:val="28"/>
          <w:lang w:val="es-AR"/>
        </w:rPr>
      </w:pPr>
      <w:r>
        <w:rPr>
          <w:rFonts w:ascii="Arial" w:eastAsia="Arial" w:hAnsi="Arial"/>
          <w:b/>
          <w:sz w:val="28"/>
          <w:szCs w:val="28"/>
          <w:lang w:val="es-AR"/>
        </w:rPr>
        <w:t>T</w:t>
      </w:r>
      <w:r w:rsidRPr="009A1CD2">
        <w:rPr>
          <w:rFonts w:ascii="Arial" w:eastAsia="Arial" w:hAnsi="Arial"/>
          <w:b/>
          <w:sz w:val="28"/>
          <w:szCs w:val="28"/>
          <w:lang w:val="es-AR"/>
        </w:rPr>
        <w:t xml:space="preserve">ENSIONES IDENTITARIAS SEMIÓTICO-DISCURSIVAS </w:t>
      </w:r>
      <w:r>
        <w:rPr>
          <w:rFonts w:ascii="Arial" w:eastAsia="Arial" w:hAnsi="Arial"/>
          <w:b/>
          <w:sz w:val="28"/>
          <w:szCs w:val="28"/>
          <w:lang w:val="es-AR"/>
        </w:rPr>
        <w:t>EN</w:t>
      </w:r>
      <w:r w:rsidRPr="009A1CD2">
        <w:rPr>
          <w:rFonts w:ascii="Arial" w:eastAsia="Arial" w:hAnsi="Arial"/>
          <w:b/>
          <w:sz w:val="28"/>
          <w:szCs w:val="28"/>
          <w:lang w:val="es-AR"/>
        </w:rPr>
        <w:t xml:space="preserve"> </w:t>
      </w:r>
      <w:r w:rsidR="00B246C0" w:rsidRPr="009A1CD2">
        <w:rPr>
          <w:rFonts w:ascii="Arial" w:eastAsia="Arial" w:hAnsi="Arial"/>
          <w:b/>
          <w:sz w:val="28"/>
          <w:szCs w:val="28"/>
          <w:lang w:val="es-AR"/>
        </w:rPr>
        <w:t xml:space="preserve">ESCRITURAS </w:t>
      </w:r>
      <w:r w:rsidR="00B246C0">
        <w:rPr>
          <w:rFonts w:ascii="Arial" w:eastAsia="Arial" w:hAnsi="Arial"/>
          <w:b/>
          <w:sz w:val="28"/>
          <w:szCs w:val="28"/>
          <w:lang w:val="es-AR"/>
        </w:rPr>
        <w:t xml:space="preserve">DE </w:t>
      </w:r>
      <w:r w:rsidRPr="009A1CD2">
        <w:rPr>
          <w:rFonts w:ascii="Arial" w:eastAsia="Arial" w:hAnsi="Arial"/>
          <w:b/>
          <w:sz w:val="28"/>
          <w:szCs w:val="28"/>
          <w:lang w:val="es-AR"/>
        </w:rPr>
        <w:t>INGRESANTES</w:t>
      </w:r>
      <w:r w:rsidR="00B246C0">
        <w:rPr>
          <w:rFonts w:ascii="Arial" w:eastAsia="Arial" w:hAnsi="Arial"/>
          <w:b/>
          <w:sz w:val="28"/>
          <w:szCs w:val="28"/>
          <w:lang w:val="es-AR"/>
        </w:rPr>
        <w:t xml:space="preserve"> A LA UNIVERSIDAD</w:t>
      </w:r>
      <w:r w:rsidRPr="009A1CD2">
        <w:rPr>
          <w:rFonts w:ascii="Arial" w:eastAsia="Arial" w:hAnsi="Arial"/>
          <w:b/>
          <w:sz w:val="28"/>
          <w:szCs w:val="28"/>
          <w:lang w:val="es-AR"/>
        </w:rPr>
        <w:t xml:space="preserve"> </w:t>
      </w:r>
      <w:r w:rsidR="00B246C0" w:rsidRPr="00B246C0">
        <w:rPr>
          <w:rFonts w:ascii="Arial" w:eastAsia="Arial" w:hAnsi="Arial"/>
          <w:b/>
          <w:sz w:val="28"/>
          <w:szCs w:val="28"/>
          <w:lang w:val="es-AR"/>
        </w:rPr>
        <w:t xml:space="preserve">MAYORES DE 25 </w:t>
      </w:r>
      <w:r>
        <w:rPr>
          <w:rFonts w:ascii="Arial" w:eastAsia="Arial" w:hAnsi="Arial"/>
          <w:b/>
          <w:sz w:val="28"/>
          <w:szCs w:val="28"/>
          <w:lang w:val="es-AR"/>
        </w:rPr>
        <w:t>(</w:t>
      </w:r>
      <w:r w:rsidRPr="009A1CD2">
        <w:rPr>
          <w:rFonts w:ascii="Arial" w:eastAsia="Arial" w:hAnsi="Arial"/>
          <w:b/>
          <w:sz w:val="28"/>
          <w:szCs w:val="28"/>
          <w:lang w:val="es-AR"/>
        </w:rPr>
        <w:t>ARTÍCULO 7 DE LA LEY DE EDUCACIÓN SUPERIOR</w:t>
      </w:r>
      <w:r w:rsidR="003A5C4C">
        <w:rPr>
          <w:rFonts w:ascii="Arial" w:eastAsia="Arial" w:hAnsi="Arial"/>
          <w:b/>
          <w:sz w:val="28"/>
          <w:szCs w:val="28"/>
          <w:lang w:val="es-AR"/>
        </w:rPr>
        <w:t xml:space="preserve">, </w:t>
      </w:r>
      <w:r w:rsidRPr="009A1CD2">
        <w:rPr>
          <w:rFonts w:ascii="Arial" w:eastAsia="Arial" w:hAnsi="Arial"/>
          <w:b/>
          <w:sz w:val="28"/>
          <w:szCs w:val="28"/>
          <w:lang w:val="es-AR"/>
        </w:rPr>
        <w:t>1995)</w:t>
      </w:r>
    </w:p>
    <w:p w14:paraId="04C5EE25" w14:textId="6577C5E8" w:rsidR="00C749E0" w:rsidRDefault="003C0E30">
      <w:pPr>
        <w:spacing w:line="360" w:lineRule="auto"/>
        <w:jc w:val="center"/>
        <w:rPr>
          <w:rFonts w:ascii="Arial" w:eastAsia="Arial" w:hAnsi="Arial"/>
          <w:b/>
          <w:sz w:val="28"/>
        </w:rPr>
      </w:pPr>
      <w:r w:rsidRPr="00466706">
        <w:rPr>
          <w:rFonts w:ascii="Arial" w:eastAsia="Arial" w:hAnsi="Arial"/>
          <w:b/>
          <w:sz w:val="28"/>
        </w:rPr>
        <w:t>TITLE IN ENGLISH</w:t>
      </w:r>
    </w:p>
    <w:p w14:paraId="5FC9F813" w14:textId="4910A883" w:rsidR="005929B8" w:rsidRPr="004A6310" w:rsidRDefault="005929B8">
      <w:pPr>
        <w:spacing w:line="360" w:lineRule="auto"/>
        <w:jc w:val="center"/>
        <w:rPr>
          <w:rFonts w:ascii="Arial" w:eastAsia="Arial" w:hAnsi="Arial"/>
          <w:b/>
          <w:sz w:val="28"/>
          <w:szCs w:val="28"/>
        </w:rPr>
      </w:pPr>
      <w:r w:rsidRPr="004A6310">
        <w:rPr>
          <w:rFonts w:ascii="Arial" w:eastAsia="Arial" w:hAnsi="Arial"/>
          <w:b/>
          <w:sz w:val="28"/>
          <w:szCs w:val="28"/>
        </w:rPr>
        <w:t>SEMIOTIC-DISCURSIVE IDENTITY TENSIONS IN WRITINGS OF UNIVERSITY ENTRANCE STUDENTS OVER 25 (ARTICLE 7 OF THE HIGHER EDUCATION LAW, 1995)</w:t>
      </w:r>
    </w:p>
    <w:p w14:paraId="384DC7A6" w14:textId="77777777" w:rsidR="00C749E0" w:rsidRDefault="003C0E30">
      <w:pPr>
        <w:spacing w:line="360" w:lineRule="auto"/>
        <w:jc w:val="center"/>
        <w:rPr>
          <w:rFonts w:ascii="Arial" w:eastAsia="Arial" w:hAnsi="Arial"/>
          <w:b/>
          <w:sz w:val="28"/>
        </w:rPr>
      </w:pPr>
      <w:r w:rsidRPr="002C27A6">
        <w:rPr>
          <w:rFonts w:ascii="Arial" w:eastAsia="Arial" w:hAnsi="Arial"/>
          <w:b/>
          <w:sz w:val="28"/>
        </w:rPr>
        <w:t>TÍTULO EM PORTUGUÊS</w:t>
      </w:r>
    </w:p>
    <w:p w14:paraId="6789AF7D" w14:textId="365506E1" w:rsidR="005929B8" w:rsidRPr="004A6310" w:rsidRDefault="004A6310">
      <w:pPr>
        <w:spacing w:line="360" w:lineRule="auto"/>
        <w:jc w:val="center"/>
        <w:rPr>
          <w:rFonts w:ascii="Arial" w:eastAsia="Arial" w:hAnsi="Arial"/>
          <w:b/>
          <w:sz w:val="28"/>
          <w:szCs w:val="28"/>
          <w:lang w:val="es-AR"/>
        </w:rPr>
      </w:pPr>
      <w:r w:rsidRPr="004A6310">
        <w:rPr>
          <w:rFonts w:ascii="Arial" w:eastAsia="Arial" w:hAnsi="Arial"/>
          <w:b/>
          <w:sz w:val="28"/>
          <w:szCs w:val="28"/>
          <w:lang w:val="es-AR"/>
        </w:rPr>
        <w:t>TENSÕES DE IDENTIDADE SEMIÓTICO-DISCURSIVA EM ESCRITOS DE ESTUDANTES INICIANTES UNIVERSITÁRIOS COM MAIS DE 25 ANOS (ARTIGO 7 DA LEI DO ENSINO SUPERIOR, 1995)</w:t>
      </w:r>
    </w:p>
    <w:p w14:paraId="1AF10CB7" w14:textId="77777777" w:rsidR="00414A02" w:rsidRDefault="00414A02" w:rsidP="00414A02">
      <w:pPr>
        <w:spacing w:line="360" w:lineRule="auto"/>
        <w:jc w:val="center"/>
        <w:rPr>
          <w:lang w:val="es-AR"/>
        </w:rPr>
      </w:pPr>
      <w:r w:rsidRPr="00414A02">
        <w:rPr>
          <w:highlight w:val="yellow"/>
          <w:lang w:val="es-AR"/>
        </w:rPr>
        <w:t>Autor 1</w:t>
      </w:r>
      <w:r w:rsidRPr="00414A02">
        <w:rPr>
          <w:rStyle w:val="Refdenotaalpie"/>
          <w:highlight w:val="yellow"/>
          <w:lang w:val="es-AR"/>
        </w:rPr>
        <w:footnoteReference w:id="1"/>
      </w:r>
      <w:r w:rsidRPr="00414A02">
        <w:rPr>
          <w:highlight w:val="yellow"/>
          <w:lang w:val="es-AR"/>
        </w:rPr>
        <w:t>, Autor 2</w:t>
      </w:r>
      <w:r w:rsidRPr="00414A02">
        <w:rPr>
          <w:rStyle w:val="Refdenotaalpie"/>
          <w:highlight w:val="yellow"/>
          <w:lang w:val="es-AR"/>
        </w:rPr>
        <w:footnoteReference w:id="2"/>
      </w:r>
      <w:r w:rsidRPr="00414A02">
        <w:rPr>
          <w:highlight w:val="yellow"/>
          <w:lang w:val="es-AR"/>
        </w:rPr>
        <w:t>, Autor 3</w:t>
      </w:r>
      <w:r w:rsidRPr="00414A02">
        <w:rPr>
          <w:rStyle w:val="Refdenotaalpie"/>
          <w:highlight w:val="yellow"/>
          <w:lang w:val="es-AR"/>
        </w:rPr>
        <w:footnoteReference w:id="3"/>
      </w:r>
      <w:r>
        <w:rPr>
          <w:lang w:val="es-AR"/>
        </w:rPr>
        <w:t xml:space="preserve"> </w:t>
      </w:r>
    </w:p>
    <w:p w14:paraId="2C81810E" w14:textId="77777777" w:rsidR="00414A02" w:rsidRDefault="00414A02" w:rsidP="00414A02">
      <w:pPr>
        <w:spacing w:line="360" w:lineRule="auto"/>
        <w:jc w:val="center"/>
        <w:rPr>
          <w:lang w:val="es-AR"/>
        </w:rPr>
      </w:pPr>
      <w:r w:rsidRPr="00414A02">
        <w:rPr>
          <w:highlight w:val="yellow"/>
          <w:lang w:val="es-AR"/>
        </w:rPr>
        <w:t>No colocar los datos de los autores para garantizar la evaluación a doble ciego</w:t>
      </w:r>
    </w:p>
    <w:p w14:paraId="7F40AEE1" w14:textId="7FFBD0D3" w:rsidR="00C749E0" w:rsidRPr="00414A02" w:rsidRDefault="003C0E30" w:rsidP="00414A02">
      <w:pPr>
        <w:spacing w:line="360" w:lineRule="auto"/>
        <w:rPr>
          <w:lang w:val="es-AR"/>
        </w:rPr>
      </w:pPr>
      <w:r w:rsidRPr="00414A02">
        <w:rPr>
          <w:rFonts w:ascii="Arial" w:eastAsia="Arial" w:hAnsi="Arial"/>
          <w:lang w:val="es-AR"/>
        </w:rPr>
        <w:t xml:space="preserve">Palabras clave: </w:t>
      </w:r>
      <w:r w:rsidR="001F0229">
        <w:rPr>
          <w:rFonts w:ascii="Arial" w:eastAsia="Arial" w:hAnsi="Arial"/>
          <w:lang w:val="es-AR"/>
        </w:rPr>
        <w:t>umbral biosemiótico</w:t>
      </w:r>
      <w:r w:rsidRPr="00414A02">
        <w:rPr>
          <w:rFonts w:ascii="Arial" w:eastAsia="Arial" w:hAnsi="Arial"/>
          <w:lang w:val="es-AR"/>
        </w:rPr>
        <w:t xml:space="preserve">; </w:t>
      </w:r>
      <w:r w:rsidR="003A5C4C">
        <w:rPr>
          <w:rFonts w:ascii="Arial" w:eastAsia="Arial" w:hAnsi="Arial"/>
          <w:lang w:val="es-AR"/>
        </w:rPr>
        <w:t>escritura</w:t>
      </w:r>
      <w:r w:rsidR="001F0229">
        <w:rPr>
          <w:rFonts w:ascii="Arial" w:eastAsia="Arial" w:hAnsi="Arial"/>
          <w:lang w:val="es-AR"/>
        </w:rPr>
        <w:t xml:space="preserve"> académica</w:t>
      </w:r>
      <w:r w:rsidRPr="00414A02">
        <w:rPr>
          <w:rFonts w:ascii="Arial" w:eastAsia="Arial" w:hAnsi="Arial"/>
          <w:lang w:val="es-AR"/>
        </w:rPr>
        <w:t xml:space="preserve">; </w:t>
      </w:r>
      <w:r w:rsidR="00355A11">
        <w:rPr>
          <w:rFonts w:ascii="Arial" w:eastAsia="Arial" w:hAnsi="Arial"/>
          <w:lang w:val="es-AR"/>
        </w:rPr>
        <w:t xml:space="preserve">estudiantes </w:t>
      </w:r>
      <w:r w:rsidR="003A5C4C">
        <w:rPr>
          <w:rFonts w:ascii="Arial" w:eastAsia="Arial" w:hAnsi="Arial"/>
          <w:lang w:val="es-AR"/>
        </w:rPr>
        <w:t xml:space="preserve">ingresantes </w:t>
      </w:r>
      <w:r w:rsidR="00AA4BA0">
        <w:rPr>
          <w:rFonts w:ascii="Arial" w:eastAsia="Arial" w:hAnsi="Arial"/>
          <w:lang w:val="es-AR"/>
        </w:rPr>
        <w:t>Artículo 7</w:t>
      </w:r>
      <w:r w:rsidRPr="00414A02">
        <w:rPr>
          <w:rFonts w:ascii="Arial" w:eastAsia="Arial" w:hAnsi="Arial"/>
          <w:lang w:val="es-AR"/>
        </w:rPr>
        <w:t>.</w:t>
      </w:r>
    </w:p>
    <w:p w14:paraId="6F81E1CD" w14:textId="023746B7" w:rsidR="00C749E0" w:rsidRDefault="003C0E30">
      <w:pPr>
        <w:spacing w:line="360" w:lineRule="auto"/>
      </w:pPr>
      <w:r>
        <w:rPr>
          <w:rFonts w:ascii="Arial" w:eastAsia="Arial" w:hAnsi="Arial"/>
        </w:rPr>
        <w:t xml:space="preserve">Keywords: </w:t>
      </w:r>
      <w:r w:rsidR="00973D54" w:rsidRPr="00973D54">
        <w:rPr>
          <w:rFonts w:ascii="Arial" w:eastAsia="Arial" w:hAnsi="Arial"/>
        </w:rPr>
        <w:t>biosemiotic threshold; academic writing; incoming students Article 7</w:t>
      </w:r>
      <w:r>
        <w:rPr>
          <w:rFonts w:ascii="Arial" w:eastAsia="Arial" w:hAnsi="Arial"/>
        </w:rPr>
        <w:t>.</w:t>
      </w:r>
    </w:p>
    <w:p w14:paraId="677B8E16" w14:textId="3D5B39F6" w:rsidR="000178A9" w:rsidRDefault="003C0E30">
      <w:pPr>
        <w:spacing w:line="360" w:lineRule="auto"/>
        <w:rPr>
          <w:rFonts w:ascii="Arial" w:eastAsia="Arial" w:hAnsi="Arial"/>
          <w:lang w:val="es-AR"/>
        </w:rPr>
      </w:pPr>
      <w:r w:rsidRPr="000178A9">
        <w:rPr>
          <w:rFonts w:ascii="Arial" w:eastAsia="Arial" w:hAnsi="Arial"/>
          <w:lang w:val="es-AR"/>
        </w:rPr>
        <w:t xml:space="preserve">Palavras-chave: </w:t>
      </w:r>
      <w:r w:rsidR="000178A9" w:rsidRPr="000178A9">
        <w:rPr>
          <w:rFonts w:ascii="Arial" w:eastAsia="Arial" w:hAnsi="Arial"/>
          <w:lang w:val="es-AR"/>
        </w:rPr>
        <w:t>Limiar biosemiótico; escrita acadêmica; alunos ingressantes Artigo 7</w:t>
      </w:r>
      <w:r w:rsidRPr="000178A9">
        <w:rPr>
          <w:rFonts w:ascii="Arial" w:eastAsia="Arial" w:hAnsi="Arial"/>
          <w:lang w:val="es-AR"/>
        </w:rPr>
        <w:t>.</w:t>
      </w:r>
    </w:p>
    <w:p w14:paraId="331F656E" w14:textId="77777777" w:rsidR="00973D54" w:rsidRPr="000178A9" w:rsidRDefault="00973D54">
      <w:pPr>
        <w:spacing w:line="360" w:lineRule="auto"/>
        <w:rPr>
          <w:rFonts w:ascii="Arial" w:eastAsia="Arial" w:hAnsi="Arial"/>
          <w:lang w:val="es-AR"/>
        </w:rPr>
      </w:pPr>
    </w:p>
    <w:p w14:paraId="42C629C1" w14:textId="77777777" w:rsidR="00C749E0" w:rsidRPr="00414A02" w:rsidRDefault="003C0E30">
      <w:pPr>
        <w:spacing w:line="360" w:lineRule="auto"/>
        <w:rPr>
          <w:lang w:val="es-AR"/>
        </w:rPr>
      </w:pPr>
      <w:r w:rsidRPr="00414A02">
        <w:rPr>
          <w:rFonts w:ascii="Arial" w:eastAsia="Arial" w:hAnsi="Arial"/>
          <w:b/>
          <w:sz w:val="24"/>
          <w:lang w:val="es-AR"/>
        </w:rPr>
        <w:t>RESUMEN EXTENDIDO (mínimo 600 palabras – máximo 1500 palabras)</w:t>
      </w:r>
    </w:p>
    <w:p w14:paraId="56B529D0" w14:textId="1D700503" w:rsidR="0012319E" w:rsidRDefault="005E03BA" w:rsidP="002E5B4C">
      <w:pPr>
        <w:spacing w:line="360" w:lineRule="auto"/>
        <w:jc w:val="both"/>
        <w:rPr>
          <w:rFonts w:ascii="Arial" w:eastAsia="Arial" w:hAnsi="Arial"/>
          <w:sz w:val="24"/>
          <w:lang w:val="es-AR"/>
        </w:rPr>
      </w:pPr>
      <w:r>
        <w:rPr>
          <w:rFonts w:ascii="Arial" w:eastAsia="Arial" w:hAnsi="Arial"/>
          <w:sz w:val="24"/>
          <w:lang w:val="es-AR"/>
        </w:rPr>
        <w:lastRenderedPageBreak/>
        <w:t xml:space="preserve">El </w:t>
      </w:r>
      <w:r w:rsidR="00C01884">
        <w:rPr>
          <w:rFonts w:ascii="Arial" w:eastAsia="Arial" w:hAnsi="Arial"/>
          <w:sz w:val="24"/>
          <w:lang w:val="es-AR"/>
        </w:rPr>
        <w:t>programa Mayores de 25 años</w:t>
      </w:r>
      <w:r w:rsidR="00556A3B">
        <w:rPr>
          <w:rFonts w:ascii="Arial" w:eastAsia="Arial" w:hAnsi="Arial"/>
          <w:sz w:val="24"/>
          <w:lang w:val="es-AR"/>
        </w:rPr>
        <w:t xml:space="preserve">, normado por el artículo </w:t>
      </w:r>
      <w:r w:rsidR="00712DDE">
        <w:rPr>
          <w:rFonts w:ascii="Arial" w:eastAsia="Arial" w:hAnsi="Arial"/>
          <w:sz w:val="24"/>
          <w:lang w:val="es-AR"/>
        </w:rPr>
        <w:t xml:space="preserve">7 </w:t>
      </w:r>
      <w:r w:rsidR="00712DDE" w:rsidRPr="00712DDE">
        <w:rPr>
          <w:rFonts w:ascii="Arial" w:eastAsia="Arial" w:hAnsi="Arial"/>
          <w:sz w:val="24"/>
          <w:lang w:val="es-AR"/>
        </w:rPr>
        <w:t>de la Ley de Educación Superior N° 24.521 y modificatorias</w:t>
      </w:r>
      <w:r w:rsidR="00712DDE">
        <w:rPr>
          <w:rFonts w:ascii="Arial" w:eastAsia="Arial" w:hAnsi="Arial"/>
          <w:sz w:val="24"/>
          <w:lang w:val="es-AR"/>
        </w:rPr>
        <w:t>, estable</w:t>
      </w:r>
      <w:r w:rsidR="00A930E5">
        <w:rPr>
          <w:rFonts w:ascii="Arial" w:eastAsia="Arial" w:hAnsi="Arial"/>
          <w:sz w:val="24"/>
          <w:lang w:val="es-AR"/>
        </w:rPr>
        <w:t>ce</w:t>
      </w:r>
      <w:r w:rsidR="00712DDE">
        <w:rPr>
          <w:rFonts w:ascii="Arial" w:eastAsia="Arial" w:hAnsi="Arial"/>
          <w:sz w:val="24"/>
          <w:lang w:val="es-AR"/>
        </w:rPr>
        <w:t xml:space="preserve"> que las personas mayores de 25 años que no cuenten con estudios secundarios</w:t>
      </w:r>
      <w:r w:rsidR="008D3624" w:rsidRPr="008D3624">
        <w:rPr>
          <w:rFonts w:ascii="Arial" w:eastAsia="Arial" w:hAnsi="Arial"/>
          <w:sz w:val="24"/>
          <w:lang w:val="es-AR"/>
        </w:rPr>
        <w:t xml:space="preserve"> podrán ingresar a la enseñanza de grado en el nivel de educación superior siempre que demuestren, a través de las evaluaciones que las universidades establezcan, que tienen preparación o experiencia laboral acorde con los estudios que se proponen iniciar, así como aptitudes y conocimientos suficientes para cursarlos satisfactoriamente</w:t>
      </w:r>
      <w:r w:rsidR="008D3624">
        <w:rPr>
          <w:rFonts w:ascii="Arial" w:eastAsia="Arial" w:hAnsi="Arial"/>
          <w:sz w:val="24"/>
          <w:lang w:val="es-AR"/>
        </w:rPr>
        <w:t xml:space="preserve">. </w:t>
      </w:r>
      <w:r w:rsidR="00A930E5">
        <w:rPr>
          <w:rFonts w:ascii="Arial" w:eastAsia="Arial" w:hAnsi="Arial"/>
          <w:sz w:val="24"/>
          <w:lang w:val="es-AR"/>
        </w:rPr>
        <w:t>Es así como las universidades creamos instrumentos para evaluar estas aptitudes.</w:t>
      </w:r>
      <w:r w:rsidR="00712DDE" w:rsidRPr="00712DDE">
        <w:rPr>
          <w:rFonts w:ascii="Arial" w:eastAsia="Arial" w:hAnsi="Arial"/>
          <w:sz w:val="24"/>
          <w:lang w:val="es-AR"/>
        </w:rPr>
        <w:t xml:space="preserve"> </w:t>
      </w:r>
      <w:r w:rsidR="006A6037">
        <w:rPr>
          <w:rFonts w:ascii="Arial" w:eastAsia="Arial" w:hAnsi="Arial"/>
          <w:sz w:val="24"/>
          <w:lang w:val="es-AR"/>
        </w:rPr>
        <w:t xml:space="preserve">El trabajo que exponemos </w:t>
      </w:r>
      <w:r w:rsidR="004E21E7">
        <w:rPr>
          <w:rFonts w:ascii="Arial" w:eastAsia="Arial" w:hAnsi="Arial"/>
          <w:sz w:val="24"/>
          <w:lang w:val="es-AR"/>
        </w:rPr>
        <w:t xml:space="preserve">aquí aborda estas evaluaciones en el área de Lengua, que registran un muy bajo nivel de aprobación. </w:t>
      </w:r>
      <w:r w:rsidR="0012319E" w:rsidRPr="0012319E">
        <w:rPr>
          <w:rFonts w:ascii="Arial" w:eastAsia="Arial" w:hAnsi="Arial"/>
          <w:sz w:val="24"/>
          <w:lang w:val="es-AR"/>
        </w:rPr>
        <w:t xml:space="preserve">Didriksson y Márquez (2023) señalan que las universidades tienen una visión monolítica y reducida del estudiante con la consecuencia de no poder abordar la intersección de sus identidades y destacan que se puede contribuir a revertir esto mediante el desarrollo de políticas y prácticas que incrementen el sentimiento de pertenencia de todos sus miembros. La escritura en carreras universitarias es una herramienta de aprendizaje, así como una forma de participar en una comunidad discursiva, siempre que se perciba su potencial epistémico y se enseñe en las aulas universitarias. De este modo, se hace necesaria una reflexión sobre la enseñanza de la escritura académica en este marco expuesto (que considere la heterogeneidad lingüística y cultural y las múltiples identidades de sus miembros) en tanto herramienta que puede facilitar la inclusión en la comunidad discursiva y evitar el desgranamiento.  </w:t>
      </w:r>
    </w:p>
    <w:p w14:paraId="575F91CC" w14:textId="16B9419F" w:rsidR="002C0F7B" w:rsidRPr="002E5B4C" w:rsidRDefault="00247167" w:rsidP="002E5B4C">
      <w:pPr>
        <w:spacing w:line="360" w:lineRule="auto"/>
        <w:jc w:val="both"/>
        <w:rPr>
          <w:rFonts w:ascii="Arial" w:eastAsia="Arial" w:hAnsi="Arial"/>
          <w:sz w:val="24"/>
          <w:lang w:val="es-AR"/>
        </w:rPr>
      </w:pPr>
      <w:r>
        <w:rPr>
          <w:rFonts w:ascii="Arial" w:eastAsia="Arial" w:hAnsi="Arial"/>
          <w:sz w:val="24"/>
          <w:lang w:val="es-AR"/>
        </w:rPr>
        <w:t>Con este espíritu</w:t>
      </w:r>
      <w:r w:rsidR="00812C19">
        <w:rPr>
          <w:rFonts w:ascii="Arial" w:eastAsia="Arial" w:hAnsi="Arial"/>
          <w:sz w:val="24"/>
          <w:lang w:val="es-AR"/>
        </w:rPr>
        <w:t xml:space="preserve">, </w:t>
      </w:r>
      <w:r w:rsidR="002E5B4C" w:rsidRPr="002E5B4C">
        <w:rPr>
          <w:rFonts w:ascii="Arial" w:eastAsia="Arial" w:hAnsi="Arial"/>
          <w:sz w:val="24"/>
          <w:lang w:val="es-AR"/>
        </w:rPr>
        <w:t>nos proponemos</w:t>
      </w:r>
      <w:r w:rsidR="00C71FE6">
        <w:rPr>
          <w:rFonts w:ascii="Arial" w:eastAsia="Arial" w:hAnsi="Arial"/>
          <w:sz w:val="24"/>
          <w:lang w:val="es-AR"/>
        </w:rPr>
        <w:t xml:space="preserve"> </w:t>
      </w:r>
      <w:r w:rsidRPr="00247167">
        <w:rPr>
          <w:rFonts w:ascii="Arial" w:eastAsia="Arial" w:hAnsi="Arial"/>
          <w:sz w:val="24"/>
          <w:lang w:val="es-AR"/>
        </w:rPr>
        <w:t xml:space="preserve">en este trabajo </w:t>
      </w:r>
      <w:r w:rsidR="002E5B4C" w:rsidRPr="002E5B4C">
        <w:rPr>
          <w:rFonts w:ascii="Arial" w:eastAsia="Arial" w:hAnsi="Arial"/>
          <w:sz w:val="24"/>
          <w:lang w:val="es-AR"/>
        </w:rPr>
        <w:t>caracterizar desde una perspectiva semiótico-discursiva 45 respuestas de examen de estudiantes ingresantes al ciclo 2026 para el área de Lengua del programa mayores de 25 años, establecido en el artículo 7 de la Ley de Educación Superior (1995)</w:t>
      </w:r>
      <w:r w:rsidR="00A510EA">
        <w:rPr>
          <w:rFonts w:ascii="Arial" w:eastAsia="Arial" w:hAnsi="Arial"/>
          <w:sz w:val="24"/>
          <w:lang w:val="es-AR"/>
        </w:rPr>
        <w:t>.</w:t>
      </w:r>
      <w:r w:rsidR="003A56A4">
        <w:rPr>
          <w:rFonts w:ascii="Arial" w:eastAsia="Arial" w:hAnsi="Arial"/>
          <w:sz w:val="24"/>
          <w:lang w:val="es-AR"/>
        </w:rPr>
        <w:t xml:space="preserve"> </w:t>
      </w:r>
      <w:r w:rsidR="002E5B4C" w:rsidRPr="002E5B4C">
        <w:rPr>
          <w:rFonts w:ascii="Arial" w:eastAsia="Arial" w:hAnsi="Arial"/>
          <w:sz w:val="24"/>
          <w:lang w:val="es-AR"/>
        </w:rPr>
        <w:t xml:space="preserve">Nos interesa reconocer en estas escrituras las intersecciones identitarias de </w:t>
      </w:r>
      <w:r w:rsidR="00A510EA">
        <w:rPr>
          <w:rFonts w:ascii="Arial" w:eastAsia="Arial" w:hAnsi="Arial"/>
          <w:sz w:val="24"/>
          <w:lang w:val="es-AR"/>
        </w:rPr>
        <w:t>estos</w:t>
      </w:r>
      <w:r w:rsidR="002E5B4C" w:rsidRPr="002E5B4C">
        <w:rPr>
          <w:rFonts w:ascii="Arial" w:eastAsia="Arial" w:hAnsi="Arial"/>
          <w:sz w:val="24"/>
          <w:lang w:val="es-AR"/>
        </w:rPr>
        <w:t xml:space="preserve"> estudiantes, pertenecientes a grupos lingüísticos y culturales diversos y </w:t>
      </w:r>
      <w:r w:rsidR="00704BEA">
        <w:rPr>
          <w:rFonts w:ascii="Arial" w:eastAsia="Arial" w:hAnsi="Arial"/>
          <w:sz w:val="24"/>
          <w:lang w:val="es-AR"/>
        </w:rPr>
        <w:t xml:space="preserve">cuyas </w:t>
      </w:r>
      <w:r w:rsidR="002E5B4C" w:rsidRPr="002E5B4C">
        <w:rPr>
          <w:rFonts w:ascii="Arial" w:eastAsia="Arial" w:hAnsi="Arial"/>
          <w:sz w:val="24"/>
          <w:lang w:val="es-AR"/>
        </w:rPr>
        <w:t>trayectoria</w:t>
      </w:r>
      <w:r w:rsidR="00704BEA">
        <w:rPr>
          <w:rFonts w:ascii="Arial" w:eastAsia="Arial" w:hAnsi="Arial"/>
          <w:sz w:val="24"/>
          <w:lang w:val="es-AR"/>
        </w:rPr>
        <w:t xml:space="preserve">s </w:t>
      </w:r>
      <w:r w:rsidR="002E5B4C" w:rsidRPr="002E5B4C">
        <w:rPr>
          <w:rFonts w:ascii="Arial" w:eastAsia="Arial" w:hAnsi="Arial"/>
          <w:sz w:val="24"/>
          <w:lang w:val="es-AR"/>
        </w:rPr>
        <w:t xml:space="preserve">educativas </w:t>
      </w:r>
      <w:r w:rsidR="00704BEA">
        <w:rPr>
          <w:rFonts w:ascii="Arial" w:eastAsia="Arial" w:hAnsi="Arial"/>
          <w:sz w:val="24"/>
          <w:lang w:val="es-AR"/>
        </w:rPr>
        <w:t xml:space="preserve">son </w:t>
      </w:r>
      <w:r w:rsidR="002E5B4C" w:rsidRPr="002E5B4C">
        <w:rPr>
          <w:rFonts w:ascii="Arial" w:eastAsia="Arial" w:hAnsi="Arial"/>
          <w:sz w:val="24"/>
          <w:lang w:val="es-AR"/>
        </w:rPr>
        <w:t xml:space="preserve">heterogéneas. </w:t>
      </w:r>
    </w:p>
    <w:p w14:paraId="2DD9D71E" w14:textId="064F20E6" w:rsidR="00704BEA" w:rsidRDefault="004E21E7" w:rsidP="002E5B4C">
      <w:pPr>
        <w:spacing w:line="360" w:lineRule="auto"/>
        <w:jc w:val="both"/>
        <w:rPr>
          <w:rFonts w:ascii="Arial" w:eastAsia="Arial" w:hAnsi="Arial"/>
          <w:sz w:val="24"/>
          <w:lang w:val="es-AR"/>
        </w:rPr>
      </w:pPr>
      <w:r>
        <w:rPr>
          <w:rFonts w:ascii="Arial" w:eastAsia="Arial" w:hAnsi="Arial"/>
          <w:sz w:val="24"/>
          <w:lang w:val="es-AR"/>
        </w:rPr>
        <w:t xml:space="preserve">Nuestro marco teórico se centra en </w:t>
      </w:r>
      <w:r w:rsidR="002E5B4C" w:rsidRPr="002E5B4C">
        <w:rPr>
          <w:rFonts w:ascii="Arial" w:eastAsia="Arial" w:hAnsi="Arial"/>
          <w:sz w:val="24"/>
          <w:lang w:val="es-AR"/>
        </w:rPr>
        <w:t xml:space="preserve">el concepto de umbral biosemiótico (Camblong, 2025), </w:t>
      </w:r>
      <w:r w:rsidR="00A958C9">
        <w:rPr>
          <w:rFonts w:ascii="Arial" w:eastAsia="Arial" w:hAnsi="Arial"/>
          <w:sz w:val="24"/>
          <w:lang w:val="es-AR"/>
        </w:rPr>
        <w:t xml:space="preserve">entendido como </w:t>
      </w:r>
      <w:r w:rsidR="002E5B4C" w:rsidRPr="002E5B4C">
        <w:rPr>
          <w:rFonts w:ascii="Arial" w:eastAsia="Arial" w:hAnsi="Arial"/>
          <w:sz w:val="24"/>
          <w:lang w:val="es-AR"/>
        </w:rPr>
        <w:t xml:space="preserve">territorio de tensiones e inestabilidades. Se trata de un espacio dinámico, de fluctuaciones e inseguridades debido a que los hábitos culturales y lingüísticos de etapas educativas anteriores son repensados y puestos a prueba en la </w:t>
      </w:r>
      <w:r w:rsidR="002E5B4C" w:rsidRPr="002E5B4C">
        <w:rPr>
          <w:rFonts w:ascii="Arial" w:eastAsia="Arial" w:hAnsi="Arial"/>
          <w:sz w:val="24"/>
          <w:lang w:val="es-AR"/>
        </w:rPr>
        <w:lastRenderedPageBreak/>
        <w:t>nueva comunidad discursiva.</w:t>
      </w:r>
      <w:r w:rsidR="003A56A4" w:rsidRPr="003A56A4">
        <w:rPr>
          <w:lang w:val="es-AR"/>
        </w:rPr>
        <w:t xml:space="preserve"> </w:t>
      </w:r>
      <w:r w:rsidR="003A56A4" w:rsidRPr="003A56A4">
        <w:rPr>
          <w:rFonts w:ascii="Arial" w:eastAsia="Arial" w:hAnsi="Arial"/>
          <w:sz w:val="24"/>
          <w:lang w:val="es-AR"/>
        </w:rPr>
        <w:t xml:space="preserve">El umbral es un territorio de negociación y diálogo entre culturas diferentes, pero con variados puntos de encuentro. Pensamos que conocer estas tensiones y puntos de encuentro </w:t>
      </w:r>
      <w:r w:rsidR="006720B2">
        <w:rPr>
          <w:rFonts w:ascii="Arial" w:eastAsia="Arial" w:hAnsi="Arial"/>
          <w:sz w:val="24"/>
          <w:lang w:val="es-AR"/>
        </w:rPr>
        <w:t>es</w:t>
      </w:r>
      <w:r w:rsidR="003A56A4" w:rsidRPr="003A56A4">
        <w:rPr>
          <w:rFonts w:ascii="Arial" w:eastAsia="Arial" w:hAnsi="Arial"/>
          <w:sz w:val="24"/>
          <w:lang w:val="es-AR"/>
        </w:rPr>
        <w:t xml:space="preserve"> beneficioso para trazar diálogos que refuercen las continuidades de los estudiantes que dan sus primeros pasos en renovados escenarios de lectura y escritura. Estos escenarios se inscriben en comunidades discursivas cuyas modalidades de comunicación, producción y circulación impulsan hábitos, cánones y normativas es preciso aprender y ejercitar si lo que se busca es cumplir con el rito de la agregación al mundo académico.</w:t>
      </w:r>
    </w:p>
    <w:p w14:paraId="4FF0EF01" w14:textId="24ADC6E9" w:rsidR="008B24BA" w:rsidRDefault="0018727A" w:rsidP="0018727A">
      <w:pPr>
        <w:spacing w:line="360" w:lineRule="auto"/>
        <w:jc w:val="both"/>
        <w:rPr>
          <w:rFonts w:ascii="Arial" w:eastAsia="Arial" w:hAnsi="Arial"/>
          <w:sz w:val="24"/>
          <w:lang w:val="es-AR"/>
        </w:rPr>
      </w:pPr>
      <w:r w:rsidRPr="0018727A">
        <w:rPr>
          <w:rFonts w:ascii="Arial" w:eastAsia="Arial" w:hAnsi="Arial"/>
          <w:sz w:val="24"/>
          <w:lang w:val="es-AR"/>
        </w:rPr>
        <w:t>Abordamos el corpus con las herramientas del análisis del discurso (Charadeau y Maingueneau, 2005; Maingueneau, 2009) y de la sociosemiótica (Dalmasso y Fatala, 2013). Además, en el análisis de las producciones escritas nos dete</w:t>
      </w:r>
      <w:r w:rsidR="006720B2">
        <w:rPr>
          <w:rFonts w:ascii="Arial" w:eastAsia="Arial" w:hAnsi="Arial"/>
          <w:sz w:val="24"/>
          <w:lang w:val="es-AR"/>
        </w:rPr>
        <w:t>ne</w:t>
      </w:r>
      <w:r w:rsidRPr="0018727A">
        <w:rPr>
          <w:rFonts w:ascii="Arial" w:eastAsia="Arial" w:hAnsi="Arial"/>
          <w:sz w:val="24"/>
          <w:lang w:val="es-AR"/>
        </w:rPr>
        <w:t>mos en los procesos de reformulación de la palabra propia o de la palabra ajena. La identificación de la dimensión polifónica nos permi</w:t>
      </w:r>
      <w:r w:rsidR="006720B2">
        <w:rPr>
          <w:rFonts w:ascii="Arial" w:eastAsia="Arial" w:hAnsi="Arial"/>
          <w:sz w:val="24"/>
          <w:lang w:val="es-AR"/>
        </w:rPr>
        <w:t>te</w:t>
      </w:r>
      <w:r w:rsidRPr="0018727A">
        <w:rPr>
          <w:rFonts w:ascii="Arial" w:eastAsia="Arial" w:hAnsi="Arial"/>
          <w:sz w:val="24"/>
          <w:lang w:val="es-AR"/>
        </w:rPr>
        <w:t xml:space="preserve"> caracterizar las tensiones identitarias</w:t>
      </w:r>
      <w:r w:rsidR="00782232">
        <w:rPr>
          <w:rFonts w:ascii="Arial" w:eastAsia="Arial" w:hAnsi="Arial"/>
          <w:sz w:val="24"/>
          <w:lang w:val="es-AR"/>
        </w:rPr>
        <w:t xml:space="preserve"> en la medida en que </w:t>
      </w:r>
      <w:r w:rsidRPr="0018727A">
        <w:rPr>
          <w:rFonts w:ascii="Arial" w:eastAsia="Arial" w:hAnsi="Arial"/>
          <w:sz w:val="24"/>
          <w:lang w:val="es-AR"/>
        </w:rPr>
        <w:t>la respuesta a lo enunciado/dicho por otro, o por el mismo hablante-escritor que habita el umbral académico junto a sus subjetividades y pasiones, resulta siempre una reflexión e interpretación sobre el discurso, una vuelta sobre las palabras oídas o leídas (Andruskevicz</w:t>
      </w:r>
      <w:r w:rsidR="00C86FF7">
        <w:rPr>
          <w:rFonts w:ascii="Arial" w:eastAsia="Arial" w:hAnsi="Arial"/>
          <w:sz w:val="24"/>
          <w:lang w:val="es-AR"/>
        </w:rPr>
        <w:t>,</w:t>
      </w:r>
      <w:r w:rsidRPr="0018727A">
        <w:rPr>
          <w:rFonts w:ascii="Arial" w:eastAsia="Arial" w:hAnsi="Arial"/>
          <w:sz w:val="24"/>
          <w:lang w:val="es-AR"/>
        </w:rPr>
        <w:t xml:space="preserve"> 2025: 99).</w:t>
      </w:r>
    </w:p>
    <w:p w14:paraId="4E36FD73" w14:textId="4EF4E374" w:rsidR="008C6FBB" w:rsidRDefault="008C6FBB" w:rsidP="0018727A">
      <w:pPr>
        <w:spacing w:line="360" w:lineRule="auto"/>
        <w:jc w:val="both"/>
        <w:rPr>
          <w:rFonts w:ascii="Arial" w:eastAsia="Arial" w:hAnsi="Arial"/>
          <w:sz w:val="24"/>
          <w:lang w:val="es-AR"/>
        </w:rPr>
      </w:pPr>
      <w:r>
        <w:rPr>
          <w:rFonts w:ascii="Arial" w:eastAsia="Arial" w:hAnsi="Arial"/>
          <w:sz w:val="24"/>
          <w:lang w:val="es-AR"/>
        </w:rPr>
        <w:t xml:space="preserve">Los principales resultados muestran </w:t>
      </w:r>
      <w:r w:rsidR="00BF499E">
        <w:rPr>
          <w:rFonts w:ascii="Arial" w:eastAsia="Arial" w:hAnsi="Arial"/>
          <w:sz w:val="24"/>
          <w:lang w:val="es-AR"/>
        </w:rPr>
        <w:t>en estos desempeños interferencias</w:t>
      </w:r>
      <w:r w:rsidR="00602FAF">
        <w:rPr>
          <w:rFonts w:ascii="Arial" w:eastAsia="Arial" w:hAnsi="Arial"/>
          <w:sz w:val="24"/>
          <w:lang w:val="es-AR"/>
        </w:rPr>
        <w:t xml:space="preserve">, </w:t>
      </w:r>
      <w:r w:rsidR="000E0421">
        <w:rPr>
          <w:rFonts w:ascii="Arial" w:eastAsia="Arial" w:hAnsi="Arial"/>
          <w:sz w:val="24"/>
          <w:lang w:val="es-AR"/>
        </w:rPr>
        <w:t>interrupciones y</w:t>
      </w:r>
      <w:r w:rsidR="00BF499E">
        <w:rPr>
          <w:rFonts w:ascii="Arial" w:eastAsia="Arial" w:hAnsi="Arial"/>
          <w:sz w:val="24"/>
          <w:lang w:val="es-AR"/>
        </w:rPr>
        <w:t xml:space="preserve"> vacilaciones dis</w:t>
      </w:r>
      <w:r w:rsidR="00602FAF">
        <w:rPr>
          <w:rFonts w:ascii="Arial" w:eastAsia="Arial" w:hAnsi="Arial"/>
          <w:sz w:val="24"/>
          <w:lang w:val="es-AR"/>
        </w:rPr>
        <w:t>cursivas</w:t>
      </w:r>
      <w:r w:rsidR="000852F1">
        <w:rPr>
          <w:rFonts w:ascii="Arial" w:eastAsia="Arial" w:hAnsi="Arial"/>
          <w:sz w:val="24"/>
          <w:lang w:val="es-AR"/>
        </w:rPr>
        <w:t xml:space="preserve">; debilitamiento del lenguaje en tanto práctica </w:t>
      </w:r>
      <w:r w:rsidR="004A76EE">
        <w:rPr>
          <w:rFonts w:ascii="Arial" w:eastAsia="Arial" w:hAnsi="Arial"/>
          <w:sz w:val="24"/>
          <w:lang w:val="es-AR"/>
        </w:rPr>
        <w:t>biosemiótica y, en consecuencia, crisis de interpretantes.</w:t>
      </w:r>
      <w:r w:rsidR="000E0421">
        <w:rPr>
          <w:rFonts w:ascii="Arial" w:eastAsia="Arial" w:hAnsi="Arial"/>
          <w:sz w:val="24"/>
          <w:lang w:val="es-AR"/>
        </w:rPr>
        <w:t xml:space="preserve"> Asimismo, encontramos huellas semiótico.discursivas de prácticas </w:t>
      </w:r>
      <w:r w:rsidR="001F201A">
        <w:rPr>
          <w:rFonts w:ascii="Arial" w:eastAsia="Arial" w:hAnsi="Arial"/>
          <w:sz w:val="24"/>
          <w:lang w:val="es-AR"/>
        </w:rPr>
        <w:t xml:space="preserve">de </w:t>
      </w:r>
      <w:r w:rsidR="00E66855">
        <w:rPr>
          <w:rFonts w:ascii="Arial" w:eastAsia="Arial" w:hAnsi="Arial"/>
          <w:sz w:val="24"/>
          <w:lang w:val="es-AR"/>
        </w:rPr>
        <w:t xml:space="preserve">otras </w:t>
      </w:r>
      <w:r w:rsidR="006A3824">
        <w:rPr>
          <w:rFonts w:ascii="Arial" w:eastAsia="Arial" w:hAnsi="Arial"/>
          <w:sz w:val="24"/>
          <w:lang w:val="es-AR"/>
        </w:rPr>
        <w:t xml:space="preserve">biosemiosferas </w:t>
      </w:r>
      <w:r w:rsidR="00A33028">
        <w:rPr>
          <w:rFonts w:ascii="Arial" w:eastAsia="Arial" w:hAnsi="Arial"/>
          <w:sz w:val="24"/>
          <w:lang w:val="es-AR"/>
        </w:rPr>
        <w:t xml:space="preserve">que buscan </w:t>
      </w:r>
      <w:r w:rsidR="00BF73FB">
        <w:rPr>
          <w:rFonts w:ascii="Arial" w:eastAsia="Arial" w:hAnsi="Arial"/>
          <w:sz w:val="24"/>
          <w:lang w:val="es-AR"/>
        </w:rPr>
        <w:t>configurar su propia territorialidad</w:t>
      </w:r>
      <w:r w:rsidR="001F201A">
        <w:rPr>
          <w:rFonts w:ascii="Arial" w:eastAsia="Arial" w:hAnsi="Arial"/>
          <w:sz w:val="24"/>
          <w:lang w:val="es-AR"/>
        </w:rPr>
        <w:t>.</w:t>
      </w:r>
    </w:p>
    <w:p w14:paraId="1A9D574E" w14:textId="77777777" w:rsidR="00025330" w:rsidRDefault="00025330" w:rsidP="0018727A">
      <w:pPr>
        <w:spacing w:line="360" w:lineRule="auto"/>
        <w:jc w:val="both"/>
        <w:rPr>
          <w:rFonts w:ascii="Arial" w:eastAsia="Arial" w:hAnsi="Arial"/>
          <w:sz w:val="24"/>
          <w:lang w:val="es-AR"/>
        </w:rPr>
      </w:pPr>
    </w:p>
    <w:p w14:paraId="276709D9" w14:textId="77777777" w:rsidR="00C749E0" w:rsidRPr="00414A02" w:rsidRDefault="003C0E30">
      <w:pPr>
        <w:spacing w:line="360" w:lineRule="auto"/>
        <w:rPr>
          <w:lang w:val="es-AR"/>
        </w:rPr>
      </w:pPr>
      <w:r w:rsidRPr="00414A02">
        <w:rPr>
          <w:rFonts w:ascii="Arial" w:eastAsia="Arial" w:hAnsi="Arial"/>
          <w:b/>
          <w:sz w:val="24"/>
          <w:lang w:val="es-AR"/>
        </w:rPr>
        <w:t>REFERENCIAS</w:t>
      </w:r>
    </w:p>
    <w:p w14:paraId="01CD9106" w14:textId="029DDFC4" w:rsidR="000762F2" w:rsidRPr="002A3D50" w:rsidRDefault="000762F2" w:rsidP="000762F2">
      <w:pPr>
        <w:spacing w:line="360" w:lineRule="auto"/>
        <w:rPr>
          <w:rFonts w:ascii="Arial" w:eastAsia="Arial" w:hAnsi="Arial"/>
          <w:sz w:val="24"/>
          <w:lang w:val="es-AR"/>
        </w:rPr>
      </w:pPr>
      <w:r w:rsidRPr="002A3D50">
        <w:rPr>
          <w:rFonts w:ascii="Arial" w:eastAsia="Arial" w:hAnsi="Arial"/>
          <w:sz w:val="24"/>
          <w:lang w:val="es-AR"/>
        </w:rPr>
        <w:t xml:space="preserve">Andruskevicz, C. (2025). Dispositivos para leer y escribir en el umbral académico: pasajes autobiográficos y metadiscursivos, </w:t>
      </w:r>
      <w:r w:rsidRPr="002A3D50">
        <w:rPr>
          <w:rFonts w:ascii="Arial" w:eastAsia="Arial" w:hAnsi="Arial"/>
          <w:i/>
          <w:iCs/>
          <w:sz w:val="24"/>
          <w:lang w:val="es-AR"/>
        </w:rPr>
        <w:t>Revista Traslaciones, Vol. 12 ( 24</w:t>
      </w:r>
      <w:r w:rsidRPr="002A3D50">
        <w:rPr>
          <w:rFonts w:ascii="Arial" w:eastAsia="Arial" w:hAnsi="Arial"/>
          <w:sz w:val="24"/>
          <w:lang w:val="es-AR"/>
        </w:rPr>
        <w:t>) diciembre - junio 2026.</w:t>
      </w:r>
    </w:p>
    <w:p w14:paraId="530F37E2" w14:textId="77777777" w:rsidR="000762F2" w:rsidRPr="002A3D50" w:rsidRDefault="000762F2" w:rsidP="000762F2">
      <w:pPr>
        <w:spacing w:line="360" w:lineRule="auto"/>
        <w:rPr>
          <w:rFonts w:ascii="Arial" w:eastAsia="Arial" w:hAnsi="Arial"/>
          <w:sz w:val="24"/>
          <w:lang w:val="es-AR"/>
        </w:rPr>
      </w:pPr>
      <w:r w:rsidRPr="002A3D50">
        <w:rPr>
          <w:rFonts w:ascii="Arial" w:eastAsia="Arial" w:hAnsi="Arial"/>
          <w:sz w:val="24"/>
          <w:lang w:val="es-AR"/>
        </w:rPr>
        <w:lastRenderedPageBreak/>
        <w:t xml:space="preserve">Arnoux, E. (Coord.) (2009). </w:t>
      </w:r>
      <w:r w:rsidRPr="002A3D50">
        <w:rPr>
          <w:rFonts w:ascii="Arial" w:eastAsia="Arial" w:hAnsi="Arial"/>
          <w:i/>
          <w:iCs/>
          <w:sz w:val="24"/>
          <w:lang w:val="es-AR"/>
        </w:rPr>
        <w:t>Pasajes: escuela media-enseñanza superior. Propuestas en torno a la lectura y la escritura</w:t>
      </w:r>
      <w:r w:rsidRPr="002A3D50">
        <w:rPr>
          <w:rFonts w:ascii="Arial" w:eastAsia="Arial" w:hAnsi="Arial"/>
          <w:sz w:val="24"/>
          <w:lang w:val="es-AR"/>
        </w:rPr>
        <w:t>. Biblos.</w:t>
      </w:r>
    </w:p>
    <w:p w14:paraId="09DFBE2F" w14:textId="77777777" w:rsidR="000762F2" w:rsidRPr="002A3D50" w:rsidRDefault="000762F2" w:rsidP="000762F2">
      <w:pPr>
        <w:spacing w:line="360" w:lineRule="auto"/>
        <w:rPr>
          <w:rFonts w:ascii="Arial" w:eastAsia="Arial" w:hAnsi="Arial"/>
          <w:sz w:val="24"/>
          <w:lang w:val="es-AR"/>
        </w:rPr>
      </w:pPr>
      <w:r w:rsidRPr="002A3D50">
        <w:rPr>
          <w:rFonts w:ascii="Arial" w:eastAsia="Arial" w:hAnsi="Arial"/>
          <w:sz w:val="24"/>
          <w:lang w:val="es-AR"/>
        </w:rPr>
        <w:t xml:space="preserve">Bombini, G. y Labeur, P. (Coords.) (2017). </w:t>
      </w:r>
      <w:r w:rsidRPr="002A3D50">
        <w:rPr>
          <w:rFonts w:ascii="Arial" w:eastAsia="Arial" w:hAnsi="Arial"/>
          <w:i/>
          <w:iCs/>
          <w:sz w:val="24"/>
          <w:lang w:val="es-AR"/>
        </w:rPr>
        <w:t>Leer y escribir en las zonas de pasaje. Articulaciones entre la escuela secundaria y el nivel superior</w:t>
      </w:r>
      <w:r w:rsidRPr="002A3D50">
        <w:rPr>
          <w:rFonts w:ascii="Arial" w:eastAsia="Arial" w:hAnsi="Arial"/>
          <w:sz w:val="24"/>
          <w:lang w:val="es-AR"/>
        </w:rPr>
        <w:t>. Biblos.</w:t>
      </w:r>
    </w:p>
    <w:p w14:paraId="678FC5D2" w14:textId="0BA721BB" w:rsidR="000762F2" w:rsidRPr="002A3D50" w:rsidRDefault="000762F2" w:rsidP="000762F2">
      <w:pPr>
        <w:spacing w:line="360" w:lineRule="auto"/>
        <w:rPr>
          <w:rFonts w:ascii="Arial" w:eastAsia="Arial" w:hAnsi="Arial"/>
          <w:sz w:val="24"/>
          <w:lang w:val="es-AR"/>
        </w:rPr>
      </w:pPr>
      <w:r w:rsidRPr="002A3D50">
        <w:rPr>
          <w:rFonts w:ascii="Arial" w:eastAsia="Arial" w:hAnsi="Arial"/>
          <w:sz w:val="24"/>
          <w:lang w:val="es-AR"/>
        </w:rPr>
        <w:t xml:space="preserve">Camblong, A. (2025). Umbrales biosemióticos, </w:t>
      </w:r>
      <w:r w:rsidRPr="002A3D50">
        <w:rPr>
          <w:rFonts w:ascii="Arial" w:eastAsia="Arial" w:hAnsi="Arial"/>
          <w:i/>
          <w:iCs/>
          <w:sz w:val="24"/>
          <w:lang w:val="es-AR"/>
        </w:rPr>
        <w:t>Revista Traslaciones, Vol. 12 ( 24)</w:t>
      </w:r>
      <w:r w:rsidRPr="002A3D50">
        <w:rPr>
          <w:rFonts w:ascii="Arial" w:eastAsia="Arial" w:hAnsi="Arial"/>
          <w:sz w:val="24"/>
          <w:lang w:val="es-AR"/>
        </w:rPr>
        <w:t xml:space="preserve"> diciembre - junio 2026.</w:t>
      </w:r>
    </w:p>
    <w:p w14:paraId="11A504B3" w14:textId="77777777" w:rsidR="000762F2" w:rsidRPr="002A3D50" w:rsidRDefault="000762F2" w:rsidP="000762F2">
      <w:pPr>
        <w:spacing w:line="360" w:lineRule="auto"/>
        <w:rPr>
          <w:rFonts w:ascii="Arial" w:eastAsia="Arial" w:hAnsi="Arial"/>
          <w:sz w:val="24"/>
          <w:lang w:val="es-AR"/>
        </w:rPr>
      </w:pPr>
      <w:r w:rsidRPr="002A3D50">
        <w:rPr>
          <w:rFonts w:ascii="Arial" w:eastAsia="Arial" w:hAnsi="Arial"/>
          <w:sz w:val="24"/>
          <w:lang w:val="es-AR"/>
        </w:rPr>
        <w:t>Carlino, P. (2009). Prácticas y representaciones de la escritura en la universidad: los casos de Australia, Canadá, EEUU y Argentina. Cuaderno de Pedagogía, 6 (12). 6-17.</w:t>
      </w:r>
    </w:p>
    <w:p w14:paraId="02B200BA" w14:textId="77777777" w:rsidR="000762F2" w:rsidRPr="002A3D50" w:rsidRDefault="000762F2" w:rsidP="000762F2">
      <w:pPr>
        <w:spacing w:line="360" w:lineRule="auto"/>
        <w:rPr>
          <w:rFonts w:ascii="Arial" w:eastAsia="Arial" w:hAnsi="Arial"/>
          <w:sz w:val="24"/>
          <w:lang w:val="es-AR"/>
        </w:rPr>
      </w:pPr>
      <w:r w:rsidRPr="002A3D50">
        <w:rPr>
          <w:rFonts w:ascii="Arial" w:eastAsia="Arial" w:hAnsi="Arial"/>
          <w:sz w:val="24"/>
          <w:lang w:val="es-AR"/>
        </w:rPr>
        <w:t xml:space="preserve">Charadeau, P. y Maingueneau, D.  (2005). </w:t>
      </w:r>
      <w:r w:rsidRPr="002A3D50">
        <w:rPr>
          <w:rFonts w:ascii="Arial" w:eastAsia="Arial" w:hAnsi="Arial"/>
          <w:i/>
          <w:iCs/>
          <w:sz w:val="24"/>
          <w:lang w:val="es-AR"/>
        </w:rPr>
        <w:t>Diccionario de análisis del discurso</w:t>
      </w:r>
      <w:r w:rsidRPr="002A3D50">
        <w:rPr>
          <w:rFonts w:ascii="Arial" w:eastAsia="Arial" w:hAnsi="Arial"/>
          <w:sz w:val="24"/>
          <w:lang w:val="es-AR"/>
        </w:rPr>
        <w:t>. Amorrortu.</w:t>
      </w:r>
    </w:p>
    <w:p w14:paraId="0596CE17" w14:textId="5D006630" w:rsidR="000762F2" w:rsidRPr="002A3D50" w:rsidRDefault="000762F2" w:rsidP="000762F2">
      <w:pPr>
        <w:spacing w:line="360" w:lineRule="auto"/>
        <w:rPr>
          <w:rFonts w:ascii="Arial" w:eastAsia="Arial" w:hAnsi="Arial"/>
          <w:sz w:val="24"/>
          <w:lang w:val="es-AR"/>
        </w:rPr>
      </w:pPr>
      <w:r w:rsidRPr="002A3D50">
        <w:rPr>
          <w:rFonts w:ascii="Arial" w:eastAsia="Arial" w:hAnsi="Arial"/>
          <w:sz w:val="24"/>
          <w:lang w:val="es-AR"/>
        </w:rPr>
        <w:t>Dalmasso, M. y Fatala, N.  (2013). Semiótica, Sociosemiótica y Ciencias Sociales. Estudios, n</w:t>
      </w:r>
      <w:r w:rsidR="002A3D50">
        <w:rPr>
          <w:rFonts w:ascii="Arial" w:eastAsia="Arial" w:hAnsi="Arial"/>
          <w:sz w:val="24"/>
          <w:lang w:val="es-AR"/>
        </w:rPr>
        <w:t xml:space="preserve">° </w:t>
      </w:r>
      <w:r w:rsidRPr="002A3D50">
        <w:rPr>
          <w:rFonts w:ascii="Arial" w:eastAsia="Arial" w:hAnsi="Arial"/>
          <w:sz w:val="24"/>
          <w:lang w:val="es-AR"/>
        </w:rPr>
        <w:t xml:space="preserve">30, julio-diciembre, 43-51. </w:t>
      </w:r>
      <w:hyperlink r:id="rId8" w:history="1">
        <w:r w:rsidR="002A3D50" w:rsidRPr="00AB552A">
          <w:rPr>
            <w:rStyle w:val="Hipervnculo"/>
            <w:rFonts w:ascii="Arial" w:eastAsia="Arial" w:hAnsi="Arial"/>
            <w:sz w:val="24"/>
            <w:lang w:val="es-AR"/>
          </w:rPr>
          <w:t>http://hdl.handle.net/11086/6166</w:t>
        </w:r>
      </w:hyperlink>
      <w:r w:rsidR="002A3D50">
        <w:rPr>
          <w:rFonts w:ascii="Arial" w:eastAsia="Arial" w:hAnsi="Arial"/>
          <w:sz w:val="24"/>
          <w:lang w:val="es-AR"/>
        </w:rPr>
        <w:t xml:space="preserve"> </w:t>
      </w:r>
    </w:p>
    <w:p w14:paraId="056CFFF4" w14:textId="77777777" w:rsidR="000762F2" w:rsidRPr="002A3D50" w:rsidRDefault="000762F2" w:rsidP="000762F2">
      <w:pPr>
        <w:spacing w:line="360" w:lineRule="auto"/>
        <w:rPr>
          <w:rFonts w:ascii="Arial" w:eastAsia="Arial" w:hAnsi="Arial"/>
          <w:sz w:val="24"/>
          <w:lang w:val="es-AR"/>
        </w:rPr>
      </w:pPr>
      <w:r w:rsidRPr="002A3D50">
        <w:rPr>
          <w:rFonts w:ascii="Arial" w:eastAsia="Arial" w:hAnsi="Arial"/>
          <w:sz w:val="24"/>
          <w:lang w:val="es-AR"/>
        </w:rPr>
        <w:t xml:space="preserve">Didriksson, A. y Márquez, C. (2023). Revertir la desigualdad. El reto de la transformación educativa con inclusión y equidad.  </w:t>
      </w:r>
      <w:r w:rsidRPr="002A3D50">
        <w:rPr>
          <w:rFonts w:ascii="Arial" w:eastAsia="Arial" w:hAnsi="Arial"/>
          <w:i/>
          <w:iCs/>
          <w:sz w:val="24"/>
          <w:lang w:val="es-AR"/>
        </w:rPr>
        <w:t>Cuadernos de Universidades. – Núm. 20.</w:t>
      </w:r>
      <w:r w:rsidRPr="002A3D50">
        <w:rPr>
          <w:rFonts w:ascii="Arial" w:eastAsia="Arial" w:hAnsi="Arial"/>
          <w:sz w:val="24"/>
          <w:lang w:val="es-AR"/>
        </w:rPr>
        <w:t xml:space="preserve"> Unión de Universidades de América Latina y el Caribe.</w:t>
      </w:r>
    </w:p>
    <w:p w14:paraId="41A3D6F2" w14:textId="7706C77A" w:rsidR="000762F2" w:rsidRPr="002A3D50" w:rsidRDefault="000762F2" w:rsidP="000762F2">
      <w:pPr>
        <w:spacing w:line="360" w:lineRule="auto"/>
        <w:rPr>
          <w:rFonts w:ascii="Arial" w:eastAsia="Arial" w:hAnsi="Arial"/>
          <w:sz w:val="24"/>
          <w:lang w:val="es-AR"/>
        </w:rPr>
      </w:pPr>
      <w:r w:rsidRPr="002A3D50">
        <w:rPr>
          <w:rFonts w:ascii="Arial" w:eastAsia="Arial" w:hAnsi="Arial"/>
          <w:sz w:val="24"/>
          <w:lang w:val="es-AR"/>
        </w:rPr>
        <w:t xml:space="preserve">Frigerio, G. (2024). Ensayo para volver pensable el oficio, Frigerio, G.; Korinfeld, D. y Rodríguez, C. </w:t>
      </w:r>
      <w:r w:rsidRPr="002A3D50">
        <w:rPr>
          <w:rFonts w:ascii="Arial" w:eastAsia="Arial" w:hAnsi="Arial"/>
          <w:i/>
          <w:iCs/>
          <w:sz w:val="24"/>
          <w:lang w:val="es-AR"/>
        </w:rPr>
        <w:t>Saberes de los umbrales. Los oficios del lazo</w:t>
      </w:r>
      <w:r w:rsidR="002A3D50">
        <w:rPr>
          <w:rFonts w:ascii="Arial" w:eastAsia="Arial" w:hAnsi="Arial"/>
          <w:sz w:val="24"/>
          <w:lang w:val="es-AR"/>
        </w:rPr>
        <w:t xml:space="preserve">. </w:t>
      </w:r>
      <w:r w:rsidRPr="002A3D50">
        <w:rPr>
          <w:rFonts w:ascii="Arial" w:eastAsia="Arial" w:hAnsi="Arial"/>
          <w:sz w:val="24"/>
          <w:lang w:val="es-AR"/>
        </w:rPr>
        <w:t>Noveduc.</w:t>
      </w:r>
    </w:p>
    <w:p w14:paraId="4579E17B" w14:textId="77777777" w:rsidR="000762F2" w:rsidRPr="002A3D50" w:rsidRDefault="000762F2" w:rsidP="000762F2">
      <w:pPr>
        <w:spacing w:line="360" w:lineRule="auto"/>
        <w:rPr>
          <w:rFonts w:ascii="Arial" w:eastAsia="Arial" w:hAnsi="Arial"/>
          <w:sz w:val="24"/>
          <w:lang w:val="es-AR"/>
        </w:rPr>
      </w:pPr>
      <w:r w:rsidRPr="002A3D50">
        <w:rPr>
          <w:rFonts w:ascii="Arial" w:eastAsia="Arial" w:hAnsi="Arial"/>
          <w:sz w:val="24"/>
          <w:lang w:val="es-AR"/>
        </w:rPr>
        <w:t xml:space="preserve">Guimarães, E. (2002) </w:t>
      </w:r>
      <w:r w:rsidRPr="002A3D50">
        <w:rPr>
          <w:rFonts w:ascii="Arial" w:eastAsia="Arial" w:hAnsi="Arial"/>
          <w:i/>
          <w:iCs/>
          <w:sz w:val="24"/>
          <w:lang w:val="es-AR"/>
        </w:rPr>
        <w:t>Semântica do acontecimento: um estudo enunciativo da designação</w:t>
      </w:r>
      <w:r w:rsidRPr="002A3D50">
        <w:rPr>
          <w:rFonts w:ascii="Arial" w:eastAsia="Arial" w:hAnsi="Arial"/>
          <w:sz w:val="24"/>
          <w:lang w:val="es-AR"/>
        </w:rPr>
        <w:t>. Campinas: Pontes.</w:t>
      </w:r>
    </w:p>
    <w:p w14:paraId="6FCC04EC" w14:textId="77777777" w:rsidR="000762F2" w:rsidRPr="002A3D50" w:rsidRDefault="000762F2" w:rsidP="000762F2">
      <w:pPr>
        <w:spacing w:line="360" w:lineRule="auto"/>
        <w:rPr>
          <w:rFonts w:ascii="Arial" w:eastAsia="Arial" w:hAnsi="Arial"/>
          <w:sz w:val="24"/>
          <w:lang w:val="es-AR"/>
        </w:rPr>
      </w:pPr>
      <w:r w:rsidRPr="002A3D50">
        <w:rPr>
          <w:rFonts w:ascii="Arial" w:eastAsia="Arial" w:hAnsi="Arial"/>
          <w:sz w:val="24"/>
          <w:lang w:val="es-AR"/>
        </w:rPr>
        <w:t xml:space="preserve">Maingueneau, D. (2009). </w:t>
      </w:r>
      <w:r w:rsidRPr="002A3D50">
        <w:rPr>
          <w:rFonts w:ascii="Arial" w:eastAsia="Arial" w:hAnsi="Arial"/>
          <w:i/>
          <w:iCs/>
          <w:sz w:val="24"/>
          <w:lang w:val="es-AR"/>
        </w:rPr>
        <w:t>Análisis de textos de comunicación</w:t>
      </w:r>
      <w:r w:rsidRPr="002A3D50">
        <w:rPr>
          <w:rFonts w:ascii="Arial" w:eastAsia="Arial" w:hAnsi="Arial"/>
          <w:sz w:val="24"/>
          <w:lang w:val="es-AR"/>
        </w:rPr>
        <w:t>. Nueva Visión.</w:t>
      </w:r>
    </w:p>
    <w:p w14:paraId="07DF821D" w14:textId="1440AC06" w:rsidR="000762F2" w:rsidRPr="002A3D50" w:rsidRDefault="000762F2" w:rsidP="000762F2">
      <w:pPr>
        <w:spacing w:line="360" w:lineRule="auto"/>
        <w:rPr>
          <w:rFonts w:ascii="Arial" w:eastAsia="Arial" w:hAnsi="Arial"/>
          <w:sz w:val="24"/>
          <w:lang w:val="es-AR"/>
        </w:rPr>
      </w:pPr>
      <w:r w:rsidRPr="002A3D50">
        <w:rPr>
          <w:rFonts w:ascii="Arial" w:eastAsia="Arial" w:hAnsi="Arial"/>
          <w:sz w:val="24"/>
          <w:lang w:val="es-AR"/>
        </w:rPr>
        <w:t xml:space="preserve">Pereira, P. (2021). Lenguas en contacto en la Educación Superior. El contacto con lenguas indígenas en estudiantes ingresantes, en </w:t>
      </w:r>
      <w:r w:rsidRPr="002A3D50">
        <w:rPr>
          <w:rFonts w:ascii="Arial" w:eastAsia="Arial" w:hAnsi="Arial"/>
          <w:i/>
          <w:iCs/>
          <w:sz w:val="24"/>
          <w:lang w:val="es-AR"/>
        </w:rPr>
        <w:t>Documentos de Investigación PEL Núm. 1 (1)</w:t>
      </w:r>
      <w:r w:rsidRPr="002A3D50">
        <w:rPr>
          <w:rFonts w:ascii="Arial" w:eastAsia="Arial" w:hAnsi="Arial"/>
          <w:sz w:val="24"/>
          <w:lang w:val="es-AR"/>
        </w:rPr>
        <w:t>, UNM Editora.</w:t>
      </w:r>
    </w:p>
    <w:p w14:paraId="34561706" w14:textId="6D2B043A" w:rsidR="000762F2" w:rsidRPr="002A3D50" w:rsidRDefault="000762F2" w:rsidP="000762F2">
      <w:pPr>
        <w:spacing w:line="360" w:lineRule="auto"/>
        <w:rPr>
          <w:rFonts w:ascii="Arial" w:eastAsia="Arial" w:hAnsi="Arial"/>
          <w:sz w:val="24"/>
          <w:lang w:val="es-AR"/>
        </w:rPr>
      </w:pPr>
      <w:r w:rsidRPr="002A3D50">
        <w:rPr>
          <w:rFonts w:ascii="Arial" w:eastAsia="Arial" w:hAnsi="Arial"/>
          <w:sz w:val="24"/>
          <w:lang w:val="es-AR"/>
        </w:rPr>
        <w:t xml:space="preserve">Zavala, V. (2008). La literacidad, o lo que la gente 'hace' con la lectura y la escritura. </w:t>
      </w:r>
      <w:r w:rsidRPr="002A3D50">
        <w:rPr>
          <w:rFonts w:ascii="Arial" w:eastAsia="Arial" w:hAnsi="Arial"/>
          <w:i/>
          <w:iCs/>
          <w:sz w:val="24"/>
          <w:lang w:val="es-AR"/>
        </w:rPr>
        <w:t>Textos de didáctica de la lengua y la literatura</w:t>
      </w:r>
      <w:r w:rsidRPr="002A3D50">
        <w:rPr>
          <w:rFonts w:ascii="Arial" w:eastAsia="Arial" w:hAnsi="Arial"/>
          <w:sz w:val="24"/>
          <w:lang w:val="es-AR"/>
        </w:rPr>
        <w:t>, 47</w:t>
      </w:r>
      <w:r w:rsidR="002A3D50">
        <w:rPr>
          <w:rFonts w:ascii="Arial" w:eastAsia="Arial" w:hAnsi="Arial"/>
          <w:sz w:val="24"/>
          <w:lang w:val="es-AR"/>
        </w:rPr>
        <w:t>.</w:t>
      </w:r>
      <w:r w:rsidRPr="002A3D50">
        <w:rPr>
          <w:rFonts w:ascii="Arial" w:eastAsia="Arial" w:hAnsi="Arial"/>
          <w:sz w:val="24"/>
          <w:lang w:val="es-AR"/>
        </w:rPr>
        <w:t xml:space="preserve"> 71-79.</w:t>
      </w:r>
    </w:p>
    <w:sectPr w:rsidR="000762F2" w:rsidRPr="002A3D50" w:rsidSect="00034616">
      <w:headerReference w:type="default" r:id="rId9"/>
      <w:footerReference w:type="default" r:id="rId10"/>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DDE4B" w14:textId="77777777" w:rsidR="003C0E30" w:rsidRDefault="003C0E30" w:rsidP="00414A02">
      <w:pPr>
        <w:spacing w:after="0" w:line="240" w:lineRule="auto"/>
      </w:pPr>
      <w:r>
        <w:separator/>
      </w:r>
    </w:p>
  </w:endnote>
  <w:endnote w:type="continuationSeparator" w:id="0">
    <w:p w14:paraId="4F618447" w14:textId="77777777" w:rsidR="003C0E30" w:rsidRDefault="003C0E30" w:rsidP="0041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C673"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Instituto de la Educación y del Conocimiento</w:t>
    </w:r>
  </w:p>
  <w:p w14:paraId="1AC60FD5" w14:textId="77777777"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Universidad Nacional de Tierra del Fuego, Antártida e Islas del Atlántico Sur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B5A2E" w14:textId="77777777" w:rsidR="003C0E30" w:rsidRDefault="003C0E30" w:rsidP="00414A02">
      <w:pPr>
        <w:spacing w:after="0" w:line="240" w:lineRule="auto"/>
      </w:pPr>
      <w:r>
        <w:separator/>
      </w:r>
    </w:p>
  </w:footnote>
  <w:footnote w:type="continuationSeparator" w:id="0">
    <w:p w14:paraId="602D3B65" w14:textId="77777777" w:rsidR="003C0E30" w:rsidRDefault="003C0E30" w:rsidP="00414A02">
      <w:pPr>
        <w:spacing w:after="0" w:line="240" w:lineRule="auto"/>
      </w:pPr>
      <w:r>
        <w:continuationSeparator/>
      </w:r>
    </w:p>
  </w:footnote>
  <w:footnote w:id="1">
    <w:p w14:paraId="3DD5F007" w14:textId="77777777" w:rsidR="00414A02" w:rsidRPr="00414A02" w:rsidRDefault="00414A02" w:rsidP="00414A02">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2C27A6">
        <w:rPr>
          <w:rFonts w:ascii="Arial" w:hAnsi="Arial" w:cs="Arial"/>
          <w:sz w:val="20"/>
          <w:szCs w:val="20"/>
          <w:lang w:val="es-AR"/>
        </w:rPr>
        <w:t xml:space="preserve"> </w:t>
      </w:r>
      <w:r w:rsidRPr="00414A02">
        <w:rPr>
          <w:rFonts w:ascii="Arial" w:hAnsi="Arial" w:cs="Arial"/>
          <w:sz w:val="20"/>
          <w:szCs w:val="20"/>
          <w:lang w:val="es-AR"/>
        </w:rPr>
        <w:t>Filiación institucional</w:t>
      </w:r>
    </w:p>
  </w:footnote>
  <w:footnote w:id="2">
    <w:p w14:paraId="53661BED" w14:textId="77777777" w:rsidR="00414A02" w:rsidRPr="00414A02" w:rsidRDefault="00414A02" w:rsidP="00414A02">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2C27A6">
        <w:rPr>
          <w:rFonts w:ascii="Arial" w:hAnsi="Arial" w:cs="Arial"/>
          <w:sz w:val="20"/>
          <w:szCs w:val="20"/>
          <w:lang w:val="es-AR"/>
        </w:rPr>
        <w:t xml:space="preserve"> </w:t>
      </w:r>
      <w:r w:rsidRPr="00414A02">
        <w:rPr>
          <w:rFonts w:ascii="Arial" w:hAnsi="Arial" w:cs="Arial"/>
          <w:sz w:val="20"/>
          <w:szCs w:val="20"/>
          <w:lang w:val="es-AR"/>
        </w:rPr>
        <w:t>Filiación institucional</w:t>
      </w:r>
    </w:p>
  </w:footnote>
  <w:footnote w:id="3">
    <w:p w14:paraId="0F4A35B5" w14:textId="77777777" w:rsidR="00414A02" w:rsidRPr="00414A02" w:rsidRDefault="00414A02" w:rsidP="00414A02">
      <w:pPr>
        <w:spacing w:after="0" w:line="240" w:lineRule="auto"/>
        <w:rPr>
          <w:rFonts w:ascii="Arial" w:hAnsi="Arial" w:cs="Arial"/>
          <w:sz w:val="20"/>
          <w:szCs w:val="20"/>
          <w:lang w:val="es-AR"/>
        </w:rPr>
      </w:pPr>
      <w:r w:rsidRPr="00414A02">
        <w:rPr>
          <w:rStyle w:val="Refdenotaalpie"/>
          <w:rFonts w:ascii="Arial" w:hAnsi="Arial" w:cs="Arial"/>
          <w:sz w:val="20"/>
          <w:szCs w:val="20"/>
        </w:rPr>
        <w:footnoteRef/>
      </w:r>
      <w:r w:rsidRPr="002C27A6">
        <w:rPr>
          <w:rFonts w:ascii="Arial" w:hAnsi="Arial" w:cs="Arial"/>
          <w:sz w:val="20"/>
          <w:szCs w:val="20"/>
          <w:lang w:val="es-AR"/>
        </w:rPr>
        <w:t xml:space="preserve"> </w:t>
      </w:r>
      <w:r w:rsidRPr="00414A02">
        <w:rPr>
          <w:rFonts w:ascii="Arial" w:hAnsi="Arial" w:cs="Arial"/>
          <w:sz w:val="20"/>
          <w:szCs w:val="20"/>
          <w:lang w:val="es-AR"/>
        </w:rPr>
        <w:t>Filiación institucional</w:t>
      </w:r>
    </w:p>
    <w:p w14:paraId="2CFB15BB" w14:textId="77777777" w:rsidR="00414A02" w:rsidRPr="00414A02" w:rsidRDefault="00414A02">
      <w:pPr>
        <w:pStyle w:val="Textonotapie"/>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E735B" w14:textId="03F2C8A5" w:rsidR="00414A02" w:rsidRDefault="00414A02">
    <w:pPr>
      <w:pStyle w:val="Encabezado"/>
    </w:pPr>
    <w:r>
      <w:rPr>
        <w:noProof/>
      </w:rPr>
      <w:drawing>
        <wp:anchor distT="0" distB="0" distL="114300" distR="114300" simplePos="0" relativeHeight="251658240" behindDoc="1" locked="0" layoutInCell="1" allowOverlap="1" wp14:anchorId="0BAFCEBE" wp14:editId="6264D471">
          <wp:simplePos x="0" y="0"/>
          <wp:positionH relativeFrom="column">
            <wp:posOffset>900430</wp:posOffset>
          </wp:positionH>
          <wp:positionV relativeFrom="paragraph">
            <wp:posOffset>-457200</wp:posOffset>
          </wp:positionV>
          <wp:extent cx="4332605" cy="895350"/>
          <wp:effectExtent l="0" t="0" r="0" b="0"/>
          <wp:wrapTight wrapText="bothSides">
            <wp:wrapPolygon edited="0">
              <wp:start x="0" y="0"/>
              <wp:lineTo x="0" y="21140"/>
              <wp:lineTo x="21464" y="21140"/>
              <wp:lineTo x="21464" y="0"/>
              <wp:lineTo x="0" y="0"/>
            </wp:wrapPolygon>
          </wp:wrapTight>
          <wp:docPr id="1975643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43229" name="Imagen 1975643229"/>
                  <pic:cNvPicPr/>
                </pic:nvPicPr>
                <pic:blipFill>
                  <a:blip r:embed="rId1"/>
                  <a:stretch>
                    <a:fillRect/>
                  </a:stretch>
                </pic:blipFill>
                <pic:spPr>
                  <a:xfrm>
                    <a:off x="0" y="0"/>
                    <a:ext cx="4332605" cy="8953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463546195">
    <w:abstractNumId w:val="8"/>
  </w:num>
  <w:num w:numId="2" w16cid:durableId="2014647980">
    <w:abstractNumId w:val="6"/>
  </w:num>
  <w:num w:numId="3" w16cid:durableId="2085641541">
    <w:abstractNumId w:val="5"/>
  </w:num>
  <w:num w:numId="4" w16cid:durableId="1599799357">
    <w:abstractNumId w:val="4"/>
  </w:num>
  <w:num w:numId="5" w16cid:durableId="817573631">
    <w:abstractNumId w:val="7"/>
  </w:num>
  <w:num w:numId="6" w16cid:durableId="214391234">
    <w:abstractNumId w:val="3"/>
  </w:num>
  <w:num w:numId="7" w16cid:durableId="346521343">
    <w:abstractNumId w:val="2"/>
  </w:num>
  <w:num w:numId="8" w16cid:durableId="1255897033">
    <w:abstractNumId w:val="1"/>
  </w:num>
  <w:num w:numId="9" w16cid:durableId="340737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8A9"/>
    <w:rsid w:val="00025330"/>
    <w:rsid w:val="00034616"/>
    <w:rsid w:val="0006063C"/>
    <w:rsid w:val="000762F2"/>
    <w:rsid w:val="000852F1"/>
    <w:rsid w:val="000E0421"/>
    <w:rsid w:val="000F4957"/>
    <w:rsid w:val="0012319E"/>
    <w:rsid w:val="0015074B"/>
    <w:rsid w:val="0018727A"/>
    <w:rsid w:val="001F0229"/>
    <w:rsid w:val="001F201A"/>
    <w:rsid w:val="00247167"/>
    <w:rsid w:val="0029639D"/>
    <w:rsid w:val="002A3D50"/>
    <w:rsid w:val="002C0F7B"/>
    <w:rsid w:val="002C27A6"/>
    <w:rsid w:val="002E5B4C"/>
    <w:rsid w:val="00326F90"/>
    <w:rsid w:val="00355A11"/>
    <w:rsid w:val="00397F53"/>
    <w:rsid w:val="003A56A4"/>
    <w:rsid w:val="003A5C4C"/>
    <w:rsid w:val="003C0E30"/>
    <w:rsid w:val="003C588C"/>
    <w:rsid w:val="00414A02"/>
    <w:rsid w:val="00466706"/>
    <w:rsid w:val="004A6310"/>
    <w:rsid w:val="004A6916"/>
    <w:rsid w:val="004A76EE"/>
    <w:rsid w:val="004E21E7"/>
    <w:rsid w:val="00556A3B"/>
    <w:rsid w:val="00567754"/>
    <w:rsid w:val="005929B8"/>
    <w:rsid w:val="005E03BA"/>
    <w:rsid w:val="00602FAF"/>
    <w:rsid w:val="00606829"/>
    <w:rsid w:val="006720B2"/>
    <w:rsid w:val="006A3824"/>
    <w:rsid w:val="006A6037"/>
    <w:rsid w:val="00704BEA"/>
    <w:rsid w:val="00712DDE"/>
    <w:rsid w:val="00782232"/>
    <w:rsid w:val="00812C19"/>
    <w:rsid w:val="008B24BA"/>
    <w:rsid w:val="008C6FBB"/>
    <w:rsid w:val="008D3624"/>
    <w:rsid w:val="00973D54"/>
    <w:rsid w:val="009A1CD2"/>
    <w:rsid w:val="00A33028"/>
    <w:rsid w:val="00A510EA"/>
    <w:rsid w:val="00A930E5"/>
    <w:rsid w:val="00A958C9"/>
    <w:rsid w:val="00AA1D8D"/>
    <w:rsid w:val="00AA4BA0"/>
    <w:rsid w:val="00B04F30"/>
    <w:rsid w:val="00B246C0"/>
    <w:rsid w:val="00B47730"/>
    <w:rsid w:val="00B834A1"/>
    <w:rsid w:val="00B85AF0"/>
    <w:rsid w:val="00BF499E"/>
    <w:rsid w:val="00BF73FB"/>
    <w:rsid w:val="00C01884"/>
    <w:rsid w:val="00C1669E"/>
    <w:rsid w:val="00C71FE6"/>
    <w:rsid w:val="00C749E0"/>
    <w:rsid w:val="00C86FF7"/>
    <w:rsid w:val="00CB0664"/>
    <w:rsid w:val="00DA50C9"/>
    <w:rsid w:val="00E66855"/>
    <w:rsid w:val="00FC37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79FCD0"/>
  <w14:defaultImageDpi w14:val="300"/>
  <w15:docId w15:val="{3A7B557F-23BD-9945-86C9-678F21FD8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 w:type="character" w:styleId="Hipervnculo">
    <w:name w:val="Hyperlink"/>
    <w:basedOn w:val="Fuentedeprrafopredeter"/>
    <w:uiPriority w:val="99"/>
    <w:unhideWhenUsed/>
    <w:rsid w:val="000762F2"/>
    <w:rPr>
      <w:color w:val="0000FF" w:themeColor="hyperlink"/>
      <w:u w:val="single"/>
    </w:rPr>
  </w:style>
  <w:style w:type="character" w:styleId="Mencinsinresolver">
    <w:name w:val="Unresolved Mention"/>
    <w:basedOn w:val="Fuentedeprrafopredeter"/>
    <w:uiPriority w:val="99"/>
    <w:semiHidden/>
    <w:unhideWhenUsed/>
    <w:rsid w:val="00076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hdl.handle.net/11086/616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783</TotalTime>
  <Pages>4</Pages>
  <Words>932</Words>
  <Characters>6138</Characters>
  <Application>Microsoft Office Word</Application>
  <DocSecurity>0</DocSecurity>
  <Lines>93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Paola Pereira</cp:lastModifiedBy>
  <cp:revision>58</cp:revision>
  <dcterms:created xsi:type="dcterms:W3CDTF">2026-04-17T21:44:00Z</dcterms:created>
  <dcterms:modified xsi:type="dcterms:W3CDTF">2026-04-19T00:15:00Z</dcterms:modified>
  <cp:category/>
</cp:coreProperties>
</file>