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2">
      <w:pPr>
        <w:spacing w:line="360" w:lineRule="auto"/>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3">
      <w:pPr>
        <w:spacing w:line="360" w:lineRule="auto"/>
        <w:jc w:val="center"/>
        <w:rPr/>
      </w:pPr>
      <w:r w:rsidDel="00000000" w:rsidR="00000000" w:rsidRPr="00000000">
        <w:rPr>
          <w:rFonts w:ascii="Arial" w:cs="Arial" w:eastAsia="Arial" w:hAnsi="Arial"/>
          <w:b w:val="1"/>
          <w:bCs w:val="1"/>
          <w:sz w:val="28"/>
          <w:szCs w:val="28"/>
          <w:rtl w:val="0"/>
        </w:rPr>
        <w:t xml:space="preserve">PRÁCTICAS LETRADAS Y CREATIVIDAD EN LA FORMACIÓN DE PROFESORES DE INGLÉS EN LA UNRC</w:t>
      </w:r>
      <w:r w:rsidDel="00000000" w:rsidR="00000000" w:rsidRPr="00000000">
        <w:rPr>
          <w:rtl w:val="0"/>
        </w:rPr>
      </w:r>
    </w:p>
    <w:p w:rsidR="00000000" w:rsidDel="00000000" w:rsidP="00000000" w:rsidRDefault="00000000" w:rsidRPr="00000000" w14:paraId="00000004">
      <w:pPr>
        <w:spacing w:line="360" w:lineRule="auto"/>
        <w:jc w:val="center"/>
        <w:rPr/>
      </w:pPr>
      <w:r w:rsidDel="00000000" w:rsidR="00000000" w:rsidRPr="00000000">
        <w:rPr>
          <w:rFonts w:ascii="Arial" w:cs="Arial" w:eastAsia="Arial" w:hAnsi="Arial"/>
          <w:b w:val="1"/>
          <w:bCs w:val="1"/>
          <w:sz w:val="28"/>
          <w:szCs w:val="28"/>
          <w:rtl w:val="0"/>
        </w:rPr>
        <w:t xml:space="preserve">LITERACY PRACTICES AND CREATIVITY IN THE EDUCATION OF ENGLISH TEACHERS AT UNRC</w:t>
      </w:r>
      <w:r w:rsidDel="00000000" w:rsidR="00000000" w:rsidRPr="00000000">
        <w:rPr>
          <w:rtl w:val="0"/>
        </w:rPr>
      </w:r>
    </w:p>
    <w:p w:rsidR="00000000" w:rsidDel="00000000" w:rsidP="00000000" w:rsidRDefault="00000000" w:rsidRPr="00000000" w14:paraId="00000005">
      <w:pPr>
        <w:spacing w:line="360" w:lineRule="auto"/>
        <w:jc w:val="center"/>
        <w:rPr/>
      </w:pPr>
      <w:r w:rsidDel="00000000" w:rsidR="00000000" w:rsidRPr="00000000">
        <w:rPr>
          <w:rFonts w:ascii="Arial" w:cs="Arial" w:eastAsia="Arial" w:hAnsi="Arial"/>
          <w:b w:val="1"/>
          <w:bCs w:val="1"/>
          <w:sz w:val="28"/>
          <w:szCs w:val="28"/>
          <w:rtl w:val="0"/>
        </w:rPr>
        <w:t xml:space="preserve">PRÁTICAS DE ALFABETIZAÇÃO E CRIATIVIDADE NA FORMAÇÃO DE PROFESSORES DE INGLÊS NO UNRC</w:t>
      </w:r>
      <w:r w:rsidDel="00000000" w:rsidR="00000000" w:rsidRPr="00000000">
        <w:rPr>
          <w:rtl w:val="0"/>
        </w:rPr>
      </w:r>
    </w:p>
    <w:p w:rsidR="00000000" w:rsidDel="00000000" w:rsidP="00000000" w:rsidRDefault="00000000" w:rsidRPr="00000000" w14:paraId="00000006">
      <w:pPr>
        <w:spacing w:line="360" w:lineRule="auto"/>
        <w:jc w:val="center"/>
        <w:rPr/>
      </w:pPr>
      <w:r w:rsidDel="00000000" w:rsidR="00000000" w:rsidRPr="00000000">
        <w:rPr>
          <w:highlight w:val="yellow"/>
          <w:rtl w:val="0"/>
        </w:rPr>
        <w:t xml:space="preserve">Autor 1</w:t>
      </w:r>
      <w:r w:rsidDel="00000000" w:rsidR="00000000" w:rsidRPr="00000000">
        <w:rPr>
          <w:highlight w:val="yellow"/>
          <w:vertAlign w:val="superscript"/>
        </w:rPr>
        <w:footnoteReference w:customMarkFollows="0" w:id="0"/>
      </w:r>
      <w:r w:rsidDel="00000000" w:rsidR="00000000" w:rsidRPr="00000000">
        <w:rPr>
          <w:highlight w:val="yellow"/>
          <w:rtl w:val="0"/>
        </w:rPr>
        <w:t xml:space="preserve">, Autor 2</w:t>
      </w:r>
      <w:r w:rsidDel="00000000" w:rsidR="00000000" w:rsidRPr="00000000">
        <w:rPr>
          <w:highlight w:val="yellow"/>
          <w:vertAlign w:val="superscript"/>
        </w:rPr>
        <w:footnoteReference w:customMarkFollows="0" w:id="1"/>
      </w:r>
      <w:r w:rsidDel="00000000" w:rsidR="00000000" w:rsidRPr="00000000">
        <w:rPr>
          <w:rtl w:val="0"/>
        </w:rPr>
      </w:r>
    </w:p>
    <w:p w:rsidR="00000000" w:rsidDel="00000000" w:rsidP="00000000" w:rsidRDefault="00000000" w:rsidRPr="00000000" w14:paraId="00000007">
      <w:pPr>
        <w:spacing w:line="360" w:lineRule="auto"/>
        <w:jc w:val="center"/>
        <w:rPr/>
      </w:pPr>
      <w:r w:rsidDel="00000000" w:rsidR="00000000" w:rsidRPr="00000000">
        <w:rPr>
          <w:highlight w:val="yellow"/>
          <w:rtl w:val="0"/>
        </w:rPr>
        <w:t xml:space="preserve">No colocar los datos de los autores para garantizar la evaluación a doble ciego</w:t>
      </w: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Arial" w:cs="Arial" w:eastAsia="Arial" w:hAnsi="Arial"/>
          <w:rtl w:val="0"/>
        </w:rPr>
        <w:t xml:space="preserve">Palabras clave: creatividad; prácticas letradas; educación superior</w:t>
      </w: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Arial" w:cs="Arial" w:eastAsia="Arial" w:hAnsi="Arial"/>
          <w:rtl w:val="0"/>
        </w:rPr>
        <w:t xml:space="preserve">Keywords: creativity; academic literacy practices; higher education</w:t>
      </w: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Arial" w:cs="Arial" w:eastAsia="Arial" w:hAnsi="Arial"/>
          <w:rtl w:val="0"/>
        </w:rPr>
        <w:t xml:space="preserve">Palavras-chave: criatividade; práticas letradas; educação superior</w:t>
      </w:r>
      <w:r w:rsidDel="00000000" w:rsidR="00000000" w:rsidRPr="00000000">
        <w:rPr>
          <w:rtl w:val="0"/>
        </w:rPr>
      </w:r>
    </w:p>
    <w:p w:rsidR="00000000" w:rsidDel="00000000" w:rsidP="00000000" w:rsidRDefault="00000000" w:rsidRPr="00000000" w14:paraId="0000000B">
      <w:pPr>
        <w:spacing w:line="36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MODALIDAD: Virtual</w:t>
      </w:r>
    </w:p>
    <w:p w:rsidR="00000000" w:rsidDel="00000000" w:rsidP="00000000" w:rsidRDefault="00000000" w:rsidRPr="00000000" w14:paraId="0000000C">
      <w:pPr>
        <w:spacing w:line="360" w:lineRule="auto"/>
        <w:rPr/>
      </w:pPr>
      <w:r w:rsidDel="00000000" w:rsidR="00000000" w:rsidRPr="00000000">
        <w:rPr>
          <w:rFonts w:ascii="Arial" w:cs="Arial" w:eastAsia="Arial" w:hAnsi="Arial"/>
          <w:b w:val="1"/>
          <w:bCs w:val="1"/>
          <w:sz w:val="24"/>
          <w:szCs w:val="24"/>
          <w:rtl w:val="0"/>
        </w:rPr>
        <w:t xml:space="preserve">RESUMEN EXTENDIDO (mínimo 600 palabras – máximo 1500 palabras)</w:t>
      </w:r>
      <w:r w:rsidDel="00000000" w:rsidR="00000000" w:rsidRPr="00000000">
        <w:rPr>
          <w:rtl w:val="0"/>
        </w:rPr>
      </w:r>
    </w:p>
    <w:p w:rsidR="00000000" w:rsidDel="00000000" w:rsidP="00000000" w:rsidRDefault="00000000" w:rsidRPr="00000000" w14:paraId="0000000D">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Este trabajo se desprende del proyecto de investigación “La enseñanza y el aprendizaje de inglés como lengua extranjera (ILE) en entornos creativos”, dirigido por las Mgters. Gabriela Sergi y Julia Martínez, y tiene como propósito compartir experiencias de secuencias didácticas en dos asignaturas del Profesorado y la Licenciatura en Inglés de la Universidad Nacional de Río Cuarto. Dichas experiencias se desarrollaron en el marco de un enfoque que sitúa al pensamiento crítico y creativo como eje central de las prácticas letradas en la formación de grado. La formación de grado en lenguas extranjeras requiere integrar prácticas letradas que ayuden a los estudiantes no sólo a adquirir competencias lingüísticas sino también a participar activamente en comunidades discursivas específicas. En este sentido, las secuencias didácticas llevadas a cabo en Lengua Inglesa II y Literatura Infantil y Juvenil representan espacios privilegiados para explorar cómo el pensamiento crítico y creativo puede enriquecer la enseñanza y el aprendizaje, generando experiencias significativas.</w:t>
      </w:r>
    </w:p>
    <w:p w:rsidR="00000000" w:rsidDel="00000000" w:rsidP="00000000" w:rsidRDefault="00000000" w:rsidRPr="00000000" w14:paraId="0000000E">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la actualidad, los estudiantes universitarios necesitan contar con un repertorio de habilidades que les permitan adaptar y transformar el conocimiento aprendido, y la creatividad puede jugar un papel muy importante. Según De la Torre (2003), “la actividad creativa no es el mero resultado de aplicar la imaginación, sino que en ella concurren todas nuestras capacidades y habilidades mentales. Por otra parte, Mitjáns Martínez (2013) resalta que el aprendizaje creativo es un tipo de aprendizaje que trasciende la apropiación comprensiva de la información; nuevas alternativas e hipótesis sobre el objeto del conocimiento aparecen. Asimismo, el proceso creativo es un tipo de aprendizaje reflexivo y crítico que involucra el cuestionamiento, la problematización de la información, la no aceptación de lo dado como verdad; esto expresa el carácter “transgresor” del mismo y beneficia la producción de nuevas ideas. </w:t>
      </w:r>
    </w:p>
    <w:p w:rsidR="00000000" w:rsidDel="00000000" w:rsidP="00000000" w:rsidRDefault="00000000" w:rsidRPr="00000000" w14:paraId="0000000F">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Ante la necesidad de reflexionar sobre las prácticas letradas en la formación de grado, las experiencias que relataremos demuestran que: </w:t>
      </w:r>
    </w:p>
    <w:p w:rsidR="00000000" w:rsidDel="00000000" w:rsidP="00000000" w:rsidRDefault="00000000" w:rsidRPr="00000000" w14:paraId="00000010">
      <w:pPr>
        <w:numPr>
          <w:ilvl w:val="0"/>
          <w:numId w:val="1"/>
        </w:numPr>
        <w:spacing w:after="0" w:afterAutospacing="0" w:line="360" w:lineRule="auto"/>
        <w:ind w:left="72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cada campo del saber (lengua, literatura) configura formas particulares de leer, hablar y escribir que deben ser transmitidas explícitamente;</w:t>
      </w:r>
    </w:p>
    <w:p w:rsidR="00000000" w:rsidDel="00000000" w:rsidP="00000000" w:rsidRDefault="00000000" w:rsidRPr="00000000" w14:paraId="00000011">
      <w:pPr>
        <w:numPr>
          <w:ilvl w:val="0"/>
          <w:numId w:val="1"/>
        </w:numPr>
        <w:spacing w:after="0" w:afterAutospacing="0" w:line="360" w:lineRule="auto"/>
        <w:ind w:left="72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estos modos suelen naturalizarse, lo que dificulta la participación de los estudiantes en la cultura oral y/o escrita si no se generan dispositivos de acompañamiento;</w:t>
      </w:r>
    </w:p>
    <w:p w:rsidR="00000000" w:rsidDel="00000000" w:rsidP="00000000" w:rsidRDefault="00000000" w:rsidRPr="00000000" w14:paraId="00000012">
      <w:pPr>
        <w:numPr>
          <w:ilvl w:val="0"/>
          <w:numId w:val="1"/>
        </w:numPr>
        <w:spacing w:line="360" w:lineRule="auto"/>
        <w:ind w:left="72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la creatividad y el pensamiento crítico son herramientas clave para desnaturalizar dichas prácticas y abrir oportunidades al pensamiento divergente. </w:t>
      </w:r>
    </w:p>
    <w:p w:rsidR="00000000" w:rsidDel="00000000" w:rsidP="00000000" w:rsidRDefault="00000000" w:rsidRPr="00000000" w14:paraId="00000013">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Como señala Lillis (2001), la escritura académica no es un conjunto de habilidades neutrales, sino una práctica social que requiere ser enseñada de manera crítica. Desde una perspectiva teórico-metodológica que concibe las prácticas letradas como situadas, socialmente mediadas y específicas de cada disciplina, nos proponemos en este trabajo indagar qué características asumen dichas prácticas y cómo se vinculan con formas de participación creativa. Asimismo, examinamos los dispositivos de acompañamiento desplegados que orientan y sostienen la producción oral y escrita de los estudiantes.</w:t>
      </w:r>
    </w:p>
    <w:p w:rsidR="00000000" w:rsidDel="00000000" w:rsidP="00000000" w:rsidRDefault="00000000" w:rsidRPr="00000000" w14:paraId="00000014">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Partiendo de la hipótesis de que la creatividad es una competencia fundamental tanto en los procesos de enseñanza y aprendizaje de ILE como en los procesos de desarrollo de prácticas letradas en pos de la alfabetización académica, elaboramos las  propuestas didácticas que presentaremos a continuación. En el diseño de las secuencias didácticas, el rol docente y la configuración de entornos creativos se concibieron como dimensiones estructurantes orientadas a promover aprendizajes reflexivos, autónomos y significativos. En este marco, se propició el desarrollo articulado de habilidades lingüísticas, cognitivas, metacognitivas e interculturales, a la vez que se favoreció la construcción de prácticas letradas propias del ámbito disciplinar y el desarrollo de la alfabetización académica en lengua extranjera.</w:t>
      </w:r>
    </w:p>
    <w:p w:rsidR="00000000" w:rsidDel="00000000" w:rsidP="00000000" w:rsidRDefault="00000000" w:rsidRPr="00000000" w14:paraId="00000015">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Experiencia en Lengua Inglesa II</w:t>
      </w:r>
    </w:p>
    <w:p w:rsidR="00000000" w:rsidDel="00000000" w:rsidP="00000000" w:rsidRDefault="00000000" w:rsidRPr="00000000" w14:paraId="00000016">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primer año de la carrera, los estudiantes se enfrentan al desafío de consolidar competencias lingüísticas de nivel intermedio superior en la lengua extranjera. Teniendo en cuenta, además, que la asignatura integra el plan de estudios de una carrera universitaria de formación docente, la experiencia se diseñó en torno al desarrollo de la oralidad y la creatividad en el uso de la lengua extranjera. </w:t>
      </w:r>
    </w:p>
    <w:p w:rsidR="00000000" w:rsidDel="00000000" w:rsidP="00000000" w:rsidRDefault="00000000" w:rsidRPr="00000000" w14:paraId="00000017">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marco del Taller Integrador de las Habilidades de Lengua Inglesa II, los estudiantes trabajaron en grupos de hasta cuatro integrantes enfocándose en uno de los cuatro textos seleccionados por las docentes de la cátedra. La secuencia didáctica incluyó distintas actividades, tales como la elección de una tarea, la búsqueda de información, la preparación de una presentación oral guiada y el diseño de una actividad para la audiencia, orientadas tanto al desarrollo de la oralidad en lengua extranjera como a la alfabetización académica. Cada grupo optó por una de las siguientes propuestas: reescritura de una escena, creación de un personaje o elaboración de un final alternativo.</w:t>
      </w:r>
    </w:p>
    <w:p w:rsidR="00000000" w:rsidDel="00000000" w:rsidP="00000000" w:rsidRDefault="00000000" w:rsidRPr="00000000" w14:paraId="00000018">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Luego de varias semanas de trabajo, los estudiantes realizaron sus presentaciones, integrando el análisis del texto con una instancia creativa. Las producciones incluyeron dramatizaciones en el aula y videos grabados en distintos entornos. En conjunto, las propuestas articularon interpretación, uso de la lengua e interacción, favoreciendo aprendizajes significativos en torno a las prácticas letradas, la oralidad y la construcción de conocimiento disciplinar.</w:t>
      </w:r>
    </w:p>
    <w:p w:rsidR="00000000" w:rsidDel="00000000" w:rsidP="00000000" w:rsidRDefault="00000000" w:rsidRPr="00000000" w14:paraId="00000019">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Esta experiencia evidenció que la incorporación de propuestas didácticas orientadas a la creatividad favorece tanto la motivación y el compromiso estudiantil como el desarrollo de competencias lingüísticas, cognitivas, metacognitivas e interculturales. Asimismo, la secuencia promovió prácticas letradas propias del ámbito disciplinar, en particular la oralidad académica en lengua extranjera, en articulación con procesos de alfabetización académica. Al asumir un rol activo en la producción, recreación y exposición de textos, los estudiantes alcanzaron aprendizajes más significativos, reflexivos y autónomos, a la vez que fortalecieron su expresión oral y el trabajo colaborativo. Estos resultados reafirman que la creatividad es una dimensión clave en la enseñanza del inglés como lengua extranjera y subrayan el papel del docente en la construcción de entornos que favorezcan una formación integral en la educación superior.</w:t>
      </w:r>
    </w:p>
    <w:p w:rsidR="00000000" w:rsidDel="00000000" w:rsidP="00000000" w:rsidRDefault="00000000" w:rsidRPr="00000000" w14:paraId="0000001A">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Experiencia en Literatura Infantil y Juvenil</w:t>
      </w:r>
    </w:p>
    <w:p w:rsidR="00000000" w:rsidDel="00000000" w:rsidP="00000000" w:rsidRDefault="00000000" w:rsidRPr="00000000" w14:paraId="0000001B">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 respecto a los estudiantes de tercer año, la asignatura se centra en el análisis crítico de obras literarias dirigidos a niños y jóvenes, al manejo de fuentes en escritura académica y al desarrollo de propuestas didácticas para el abordaje de esos textos. La experiencia, entonces, se focalizó hacia la construcción de una mirada crítica sobre la literatura, su función social y el desarrollo de géneros pertinentes a la crítica literaria (reseña). Además, también se orientó a poder incorporar la tecnología como medio didáctico para comunicar y, a la vez, diseñar instrumentos/ herramientas didácticas. </w:t>
      </w:r>
    </w:p>
    <w:p w:rsidR="00000000" w:rsidDel="00000000" w:rsidP="00000000" w:rsidRDefault="00000000" w:rsidRPr="00000000" w14:paraId="0000001C">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estudiantes se dividieron en pares o tríos pedagógicos, y semana a semana, se dedicaron a la lectura de diversos textos literarios. Cada grupo debía llevar un diario literario en el que registraban sus apreciaciones, interpretaciones y reflexiones críticas. Estos diarios funcionaban como espacios de escritura personal y académica, ejercitando la argumentación, reseñar, y el diálogo con los textos de múltiples perspectivas. </w:t>
      </w:r>
    </w:p>
    <w:p w:rsidR="00000000" w:rsidDel="00000000" w:rsidP="00000000" w:rsidRDefault="00000000" w:rsidRPr="00000000" w14:paraId="0000001D">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Estas lecturas se transformaban en insumos para presentaciones orales breves donde se discutían las obras a partir de diversas perspectivas teóricas. La oralidad se consolidó como dispositivo clave para construir sentido compartido y desarrollar habilidades de argumentación crítica. Cada quince días se asignaba un texto literario común, que los grupos evaluaban en cuanto a complejidad, posibles audiencias y contextos educativos adecuados. Estas instancias culminaban en puestas en común, aplicando una grilla de evaluación diseñada colectivamente, con el fin de fortalecer el pensamiento crítico-creativo y fomentar la autoevaluación y la co-evaluación.</w:t>
      </w:r>
    </w:p>
    <w:p w:rsidR="00000000" w:rsidDel="00000000" w:rsidP="00000000" w:rsidRDefault="00000000" w:rsidRPr="00000000" w14:paraId="0000001E">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paralelo, los estudiantes elaboraron reseñas académicas de un libro álbum. Tras estudiar la teoría sobre cómo reseñar considerando el texto verbal y el visual, redactaron una reseña extensa y luego una síntesis breve, ejercitando la jerarquización de información y el manejo de fuentes. Además,  se propuso vincular la literatura, manualidades y la cultura digital mediante dispositivos comunicacionales mediados por el arte y la tecnología: reels de Instagram recomendando libros, videos de TikTok con reseñas dinámicas, simulaciones de podcasts, uso creativo de la I.A. para guiones y apoyos visuales, producción de materiales didácticos, fanzines y ‘blurbs’, posters y gigantografías como los del cine para promocionar una obra literaria. </w:t>
      </w:r>
    </w:p>
    <w:p w:rsidR="00000000" w:rsidDel="00000000" w:rsidP="00000000" w:rsidRDefault="00000000" w:rsidRPr="00000000" w14:paraId="0000001F">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Finalmente, el recorrido culminó con el diseño de un proyecto literario final grupal que integraba lectura, escritura y oralidad, y recursos artísticos y tecnológicos, demostrando cómo las prácticas letradas pueden articularse con el pensamiento crítico-creativo y con las demandas de una cultura digital contemporánea. </w:t>
      </w:r>
    </w:p>
    <w:p w:rsidR="00000000" w:rsidDel="00000000" w:rsidP="00000000" w:rsidRDefault="00000000" w:rsidRPr="00000000" w14:paraId="00000020">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Conclusiones</w:t>
      </w:r>
    </w:p>
    <w:p w:rsidR="00000000" w:rsidDel="00000000" w:rsidP="00000000" w:rsidRDefault="00000000" w:rsidRPr="00000000" w14:paraId="00000021">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análisis comparado de ambas experiencias revela convergencias y tensiones en torno a las prácticas letradas en entornos creativos, destacando el papel central de los dispositivos de acompañamiento en la construcción de saberes disciplinares. La incorporación de la creatividad como dimensión constitutiva favorece procesos formativos más reflexivos, críticos y significativos.</w:t>
      </w:r>
    </w:p>
    <w:p w:rsidR="00000000" w:rsidDel="00000000" w:rsidP="00000000" w:rsidRDefault="00000000" w:rsidRPr="00000000" w14:paraId="00000022">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prácticas docentes en Lengua Inglesa II y LIJ muestran que la integración de creatividad y pensamiento crítico en la formación de grado representa múltiples beneficios: favorece la participación activa en comunidades discursivas, potencia la motivación y la apropiación de saberes complejos, y contribuye a la construcción de propuestas pedagógicas inclusivas y transformadoras. Este trabajo pretende abrir el debate en torno a las prácticas letradas, invitando a reflexionar sobre cómo enseñar a leer, escribir y producir saberes en la universidad, y cómo estas prácticas pueden ser motor de justicia social y mejora educativa.</w:t>
      </w:r>
    </w:p>
    <w:p w:rsidR="00000000" w:rsidDel="00000000" w:rsidP="00000000" w:rsidRDefault="00000000" w:rsidRPr="00000000" w14:paraId="00000023">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Arial" w:cs="Arial" w:eastAsia="Arial" w:hAnsi="Arial"/>
          <w:b w:val="1"/>
          <w:bCs w:val="1"/>
          <w:sz w:val="24"/>
          <w:szCs w:val="24"/>
          <w:rtl w:val="0"/>
        </w:rPr>
        <w:t xml:space="preserve">REFERENCIAS</w:t>
      </w:r>
      <w:r w:rsidDel="00000000" w:rsidR="00000000" w:rsidRPr="00000000">
        <w:rPr>
          <w:rtl w:val="0"/>
        </w:rPr>
      </w:r>
    </w:p>
    <w:p w:rsidR="00000000" w:rsidDel="00000000" w:rsidP="00000000" w:rsidRDefault="00000000" w:rsidRPr="00000000" w14:paraId="00000025">
      <w:pPr>
        <w:spacing w:after="0" w:line="360" w:lineRule="auto"/>
        <w:ind w:left="850.3937007874017"/>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 la Torre, S. (2003). </w:t>
      </w:r>
      <w:r w:rsidDel="00000000" w:rsidR="00000000" w:rsidRPr="00000000">
        <w:rPr>
          <w:rFonts w:ascii="Arial" w:cs="Arial" w:eastAsia="Arial" w:hAnsi="Arial"/>
          <w:i w:val="1"/>
          <w:iCs w:val="1"/>
          <w:sz w:val="24"/>
          <w:szCs w:val="24"/>
          <w:rtl w:val="0"/>
        </w:rPr>
        <w:t xml:space="preserve">Creatividad aplicada: Recursos para una formación creativa.</w:t>
      </w:r>
      <w:r w:rsidDel="00000000" w:rsidR="00000000" w:rsidRPr="00000000">
        <w:rPr>
          <w:rFonts w:ascii="Arial" w:cs="Arial" w:eastAsia="Arial" w:hAnsi="Arial"/>
          <w:sz w:val="24"/>
          <w:szCs w:val="24"/>
          <w:rtl w:val="0"/>
        </w:rPr>
        <w:t xml:space="preserve"> Editorial Escuela Española.</w:t>
      </w:r>
    </w:p>
    <w:p w:rsidR="00000000" w:rsidDel="00000000" w:rsidP="00000000" w:rsidRDefault="00000000" w:rsidRPr="00000000" w14:paraId="00000026">
      <w:pPr>
        <w:spacing w:after="0" w:line="360" w:lineRule="auto"/>
        <w:ind w:left="850.3937007874017"/>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Lillis, T. (2001). </w:t>
      </w:r>
      <w:r w:rsidDel="00000000" w:rsidR="00000000" w:rsidRPr="00000000">
        <w:rPr>
          <w:rFonts w:ascii="Arial" w:cs="Arial" w:eastAsia="Arial" w:hAnsi="Arial"/>
          <w:i w:val="1"/>
          <w:iCs w:val="1"/>
          <w:sz w:val="24"/>
          <w:szCs w:val="24"/>
          <w:rtl w:val="0"/>
        </w:rPr>
        <w:t xml:space="preserve">Student writing: Access, regulation, desire</w:t>
      </w:r>
      <w:r w:rsidDel="00000000" w:rsidR="00000000" w:rsidRPr="00000000">
        <w:rPr>
          <w:rFonts w:ascii="Arial" w:cs="Arial" w:eastAsia="Arial" w:hAnsi="Arial"/>
          <w:sz w:val="24"/>
          <w:szCs w:val="24"/>
          <w:rtl w:val="0"/>
        </w:rPr>
        <w:t xml:space="preserve">. Routledge.</w:t>
      </w:r>
    </w:p>
    <w:p w:rsidR="00000000" w:rsidDel="00000000" w:rsidP="00000000" w:rsidRDefault="00000000" w:rsidRPr="00000000" w14:paraId="00000027">
      <w:pPr>
        <w:spacing w:after="0" w:line="360" w:lineRule="auto"/>
        <w:ind w:left="850.3937007874017"/>
        <w:rPr>
          <w:rFonts w:ascii="Arial" w:cs="Arial" w:eastAsia="Arial" w:hAnsi="Arial"/>
          <w:sz w:val="24"/>
          <w:szCs w:val="24"/>
        </w:rPr>
      </w:pPr>
      <w:r w:rsidDel="00000000" w:rsidR="00000000" w:rsidRPr="00000000">
        <w:rPr>
          <w:rFonts w:ascii="Arial" w:cs="Arial" w:eastAsia="Arial" w:hAnsi="Arial"/>
          <w:sz w:val="24"/>
          <w:szCs w:val="24"/>
          <w:rtl w:val="0"/>
        </w:rPr>
        <w:t xml:space="preserve">Mitjáns Martínez, A. (2013). Aprendizaje creativo: desafíos para la práctica pedagógica. </w:t>
      </w:r>
      <w:r w:rsidDel="00000000" w:rsidR="00000000" w:rsidRPr="00000000">
        <w:rPr>
          <w:rFonts w:ascii="Arial" w:cs="Arial" w:eastAsia="Arial" w:hAnsi="Arial"/>
          <w:i w:val="1"/>
          <w:iCs w:val="1"/>
          <w:sz w:val="24"/>
          <w:szCs w:val="24"/>
          <w:rtl w:val="0"/>
        </w:rPr>
        <w:t xml:space="preserve">Revista CS,</w:t>
      </w:r>
      <w:r w:rsidDel="00000000" w:rsidR="00000000" w:rsidRPr="00000000">
        <w:rPr>
          <w:rFonts w:ascii="Arial" w:cs="Arial" w:eastAsia="Arial" w:hAnsi="Arial"/>
          <w:sz w:val="24"/>
          <w:szCs w:val="24"/>
          <w:rtl w:val="0"/>
        </w:rPr>
        <w:t xml:space="preserve"> (11), 311–341 </w:t>
      </w:r>
      <w:hyperlink r:id="rId8">
        <w:r w:rsidDel="00000000" w:rsidR="00000000" w:rsidRPr="00000000">
          <w:rPr>
            <w:rFonts w:ascii="Arial" w:cs="Arial" w:eastAsia="Arial" w:hAnsi="Arial"/>
            <w:color w:val="1155cc"/>
            <w:sz w:val="24"/>
            <w:szCs w:val="24"/>
            <w:u w:val="single"/>
            <w:rtl w:val="0"/>
          </w:rPr>
          <w:t xml:space="preserve">http://www.redalyc.org/articulo.oa?id=476348374010</w:t>
        </w:r>
      </w:hyperlink>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8">
      <w:pPr>
        <w:spacing w:line="360" w:lineRule="auto"/>
        <w:rPr>
          <w:rFonts w:ascii="Arial" w:cs="Arial" w:eastAsia="Arial" w:hAnsi="Arial"/>
          <w:sz w:val="24"/>
          <w:szCs w:val="24"/>
        </w:rPr>
      </w:pPr>
      <w:r w:rsidDel="00000000" w:rsidR="00000000" w:rsidRPr="00000000">
        <w:rPr>
          <w:rtl w:val="0"/>
        </w:rPr>
      </w:r>
    </w:p>
    <w:sectPr>
      <w:headerReference r:id="rId9" w:type="default"/>
      <w:footerReference r:id="rId10" w:type="default"/>
      <w:pgSz w:h="15840" w:w="12240" w:orient="portrait"/>
      <w:pgMar w:bottom="1417" w:top="1417"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Instituto de la Educación y del Conocimiento</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Universidad Nacional de Tierra del Fuego, Antártida e Islas del Atlántico Sur</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9">
      <w:pPr>
        <w:spacing w:after="0" w:line="240" w:lineRule="auto"/>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Universidad Nacional de Río Cuarto</w:t>
      </w:r>
    </w:p>
  </w:footnote>
  <w:footnote w:id="1">
    <w:p w:rsidR="00000000" w:rsidDel="00000000" w:rsidP="00000000" w:rsidRDefault="00000000" w:rsidRPr="00000000" w14:paraId="0000002A">
      <w:pPr>
        <w:spacing w:after="0" w:line="240" w:lineRule="auto"/>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Universidad Nacional de Río Cuarto</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909568</wp:posOffset>
          </wp:positionH>
          <wp:positionV relativeFrom="paragraph">
            <wp:posOffset>-125093</wp:posOffset>
          </wp:positionV>
          <wp:extent cx="4332605" cy="1246505"/>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332605" cy="124650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s-A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www.redalyc.org/articulo.oa?id=47634837401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9MkaLaXilhUz4++IZQv+9UXLg==">CgMxLjA4AHIhMVp4V2Rtek9BYXRWaXFOa3ZhSW4xOFlVSnZGYUFEQWpM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