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AB0" w:rsidRPr="00456AB0" w:rsidRDefault="003A23F6" w:rsidP="00456AB0">
      <w:pPr>
        <w:pStyle w:val="normal0"/>
        <w:spacing w:line="360" w:lineRule="auto"/>
        <w:jc w:val="center"/>
        <w:rPr>
          <w:rFonts w:ascii="Arial" w:eastAsia="Arial" w:hAnsi="Arial" w:cs="Arial"/>
          <w:b/>
          <w:bCs/>
          <w:sz w:val="28"/>
          <w:szCs w:val="28"/>
        </w:rPr>
      </w:pPr>
      <w:r w:rsidRPr="00456AB0">
        <w:rPr>
          <w:rFonts w:ascii="Arial" w:eastAsia="Arial" w:hAnsi="Arial" w:cs="Arial"/>
          <w:b/>
          <w:sz w:val="28"/>
          <w:szCs w:val="28"/>
        </w:rPr>
        <w:t xml:space="preserve">GRUPOS DE ESCRITURA DE REVISIÓN Y CONCURRENTES </w:t>
      </w:r>
      <w:r w:rsidR="00456AB0" w:rsidRPr="00456AB0">
        <w:rPr>
          <w:rFonts w:ascii="Arial" w:eastAsia="Arial" w:hAnsi="Arial" w:cs="Arial"/>
          <w:b/>
          <w:sz w:val="28"/>
          <w:szCs w:val="28"/>
        </w:rPr>
        <w:t xml:space="preserve">EN EL POSGRADO Y MÁS ALLÁ </w:t>
      </w:r>
    </w:p>
    <w:p w:rsidR="00456AB0" w:rsidRPr="00456AB0" w:rsidRDefault="00456AB0" w:rsidP="00456AB0">
      <w:pPr>
        <w:pStyle w:val="normal0"/>
        <w:spacing w:line="360" w:lineRule="auto"/>
        <w:jc w:val="center"/>
        <w:rPr>
          <w:rFonts w:ascii="Arial" w:eastAsia="Arial" w:hAnsi="Arial" w:cs="Arial"/>
          <w:b/>
          <w:bCs/>
          <w:sz w:val="28"/>
          <w:szCs w:val="28"/>
          <w:lang w:val="en-US"/>
        </w:rPr>
      </w:pPr>
      <w:r w:rsidRPr="00456AB0">
        <w:rPr>
          <w:rFonts w:ascii="Arial" w:eastAsia="Arial" w:hAnsi="Arial" w:cs="Arial"/>
          <w:b/>
          <w:sz w:val="28"/>
          <w:szCs w:val="28"/>
          <w:lang w:val="en-US"/>
        </w:rPr>
        <w:t>PEER REVIEW AND CONCURRENT WRITING GROUPS</w:t>
      </w:r>
      <w:r w:rsidR="003A23F6">
        <w:rPr>
          <w:rFonts w:ascii="Arial" w:eastAsia="Arial" w:hAnsi="Arial" w:cs="Arial"/>
          <w:b/>
          <w:sz w:val="28"/>
          <w:szCs w:val="28"/>
          <w:lang w:val="en-US"/>
        </w:rPr>
        <w:t xml:space="preserve"> </w:t>
      </w:r>
      <w:r w:rsidR="003A23F6" w:rsidRPr="00456AB0">
        <w:rPr>
          <w:rFonts w:ascii="Arial" w:eastAsia="Arial" w:hAnsi="Arial" w:cs="Arial"/>
          <w:b/>
          <w:sz w:val="28"/>
          <w:szCs w:val="28"/>
          <w:lang w:val="en-US"/>
        </w:rPr>
        <w:t>AT THE GRADUATE LEVEL AND BEYOND:</w:t>
      </w:r>
    </w:p>
    <w:p w:rsidR="00456AB0" w:rsidRPr="00456AB0" w:rsidRDefault="00456AB0" w:rsidP="00456AB0">
      <w:pPr>
        <w:pStyle w:val="normal0"/>
        <w:spacing w:line="360" w:lineRule="auto"/>
        <w:jc w:val="center"/>
        <w:rPr>
          <w:rFonts w:ascii="Arial" w:eastAsia="Arial" w:hAnsi="Arial" w:cs="Arial"/>
          <w:b/>
          <w:sz w:val="28"/>
          <w:szCs w:val="28"/>
        </w:rPr>
      </w:pPr>
      <w:r w:rsidRPr="00456AB0">
        <w:rPr>
          <w:rFonts w:ascii="Arial" w:eastAsia="Arial" w:hAnsi="Arial" w:cs="Arial"/>
          <w:b/>
          <w:sz w:val="28"/>
          <w:szCs w:val="28"/>
        </w:rPr>
        <w:t>GRUPOS DE REVISÃO E CONCORRENTE</w:t>
      </w:r>
      <w:r w:rsidR="003A23F6">
        <w:rPr>
          <w:rFonts w:ascii="Arial" w:eastAsia="Arial" w:hAnsi="Arial" w:cs="Arial"/>
          <w:b/>
          <w:sz w:val="28"/>
          <w:szCs w:val="28"/>
        </w:rPr>
        <w:t xml:space="preserve"> NA </w:t>
      </w:r>
      <w:r w:rsidR="003A23F6" w:rsidRPr="00456AB0">
        <w:rPr>
          <w:rFonts w:ascii="Arial" w:eastAsia="Arial" w:hAnsi="Arial" w:cs="Arial"/>
          <w:b/>
          <w:sz w:val="28"/>
          <w:szCs w:val="28"/>
        </w:rPr>
        <w:t>PÓS-GRADUAÇÃO E ALÉM</w:t>
      </w:r>
    </w:p>
    <w:p w:rsidR="008B3DF1" w:rsidRDefault="009B6668">
      <w:pPr>
        <w:pStyle w:val="normal0"/>
        <w:spacing w:line="360" w:lineRule="auto"/>
        <w:jc w:val="center"/>
      </w:pPr>
      <w:r>
        <w:rPr>
          <w:highlight w:val="yellow"/>
        </w:rPr>
        <w:t>Autor 1</w:t>
      </w:r>
      <w:r>
        <w:rPr>
          <w:highlight w:val="yellow"/>
          <w:vertAlign w:val="superscript"/>
        </w:rPr>
        <w:footnoteReference w:id="1"/>
      </w:r>
    </w:p>
    <w:p w:rsidR="00456AB0" w:rsidRPr="00456AB0" w:rsidRDefault="00456AB0" w:rsidP="00456AB0">
      <w:pPr>
        <w:pStyle w:val="normal0"/>
        <w:spacing w:line="360" w:lineRule="auto"/>
        <w:rPr>
          <w:rFonts w:ascii="Arial" w:eastAsia="Arial" w:hAnsi="Arial" w:cs="Arial"/>
        </w:rPr>
      </w:pPr>
      <w:r w:rsidRPr="00456AB0">
        <w:rPr>
          <w:rFonts w:ascii="Arial" w:eastAsia="Arial" w:hAnsi="Arial" w:cs="Arial"/>
          <w:bCs/>
        </w:rPr>
        <w:t>Palabras clave:</w:t>
      </w:r>
      <w:r w:rsidRPr="00456AB0">
        <w:rPr>
          <w:rFonts w:ascii="Arial" w:eastAsia="Arial" w:hAnsi="Arial" w:cs="Arial"/>
        </w:rPr>
        <w:t xml:space="preserve"> grupos de escritura, revisión entre pares, escritura académica, posgrado, comunidades de práctica.</w:t>
      </w:r>
    </w:p>
    <w:p w:rsidR="00456AB0" w:rsidRPr="00456AB0" w:rsidRDefault="00456AB0" w:rsidP="00456AB0">
      <w:pPr>
        <w:pStyle w:val="normal0"/>
        <w:spacing w:line="360" w:lineRule="auto"/>
        <w:rPr>
          <w:rFonts w:ascii="Arial" w:eastAsia="Arial" w:hAnsi="Arial" w:cs="Arial"/>
          <w:lang w:val="en-US"/>
        </w:rPr>
      </w:pPr>
      <w:r w:rsidRPr="00456AB0">
        <w:rPr>
          <w:rFonts w:ascii="Arial" w:eastAsia="Arial" w:hAnsi="Arial" w:cs="Arial"/>
          <w:bCs/>
          <w:lang w:val="en-US"/>
        </w:rPr>
        <w:t>Keywords:</w:t>
      </w:r>
      <w:r w:rsidRPr="00456AB0">
        <w:rPr>
          <w:rFonts w:ascii="Arial" w:eastAsia="Arial" w:hAnsi="Arial" w:cs="Arial"/>
          <w:lang w:val="en-US"/>
        </w:rPr>
        <w:t xml:space="preserve"> writing groups, peer review, academic writing, graduate studies, </w:t>
      </w:r>
      <w:proofErr w:type="gramStart"/>
      <w:r w:rsidRPr="00456AB0">
        <w:rPr>
          <w:rFonts w:ascii="Arial" w:eastAsia="Arial" w:hAnsi="Arial" w:cs="Arial"/>
          <w:lang w:val="en-US"/>
        </w:rPr>
        <w:t>communities</w:t>
      </w:r>
      <w:proofErr w:type="gramEnd"/>
      <w:r w:rsidRPr="00456AB0">
        <w:rPr>
          <w:rFonts w:ascii="Arial" w:eastAsia="Arial" w:hAnsi="Arial" w:cs="Arial"/>
          <w:lang w:val="en-US"/>
        </w:rPr>
        <w:t xml:space="preserve"> of practice.</w:t>
      </w:r>
    </w:p>
    <w:p w:rsidR="00456AB0" w:rsidRPr="00456AB0" w:rsidRDefault="00456AB0" w:rsidP="00456AB0">
      <w:pPr>
        <w:pStyle w:val="normal0"/>
        <w:spacing w:line="360" w:lineRule="auto"/>
        <w:rPr>
          <w:rFonts w:ascii="Arial" w:eastAsia="Arial" w:hAnsi="Arial" w:cs="Arial"/>
        </w:rPr>
      </w:pPr>
      <w:proofErr w:type="spellStart"/>
      <w:r w:rsidRPr="00456AB0">
        <w:rPr>
          <w:rFonts w:ascii="Arial" w:eastAsia="Arial" w:hAnsi="Arial" w:cs="Arial"/>
          <w:bCs/>
        </w:rPr>
        <w:t>Palavras</w:t>
      </w:r>
      <w:proofErr w:type="spellEnd"/>
      <w:r w:rsidRPr="00456AB0">
        <w:rPr>
          <w:rFonts w:ascii="Arial" w:eastAsia="Arial" w:hAnsi="Arial" w:cs="Arial"/>
          <w:bCs/>
        </w:rPr>
        <w:t>-chave:</w:t>
      </w:r>
      <w:r w:rsidRPr="00456AB0">
        <w:rPr>
          <w:rFonts w:ascii="Arial" w:eastAsia="Arial" w:hAnsi="Arial" w:cs="Arial"/>
        </w:rPr>
        <w:t xml:space="preserve"> grupos de escrita, </w:t>
      </w:r>
      <w:proofErr w:type="spellStart"/>
      <w:r w:rsidRPr="00456AB0">
        <w:rPr>
          <w:rFonts w:ascii="Arial" w:eastAsia="Arial" w:hAnsi="Arial" w:cs="Arial"/>
        </w:rPr>
        <w:t>revisão</w:t>
      </w:r>
      <w:proofErr w:type="spellEnd"/>
      <w:r w:rsidRPr="00456AB0">
        <w:rPr>
          <w:rFonts w:ascii="Arial" w:eastAsia="Arial" w:hAnsi="Arial" w:cs="Arial"/>
        </w:rPr>
        <w:t xml:space="preserve"> por pares, escrita </w:t>
      </w:r>
      <w:proofErr w:type="spellStart"/>
      <w:r w:rsidRPr="00456AB0">
        <w:rPr>
          <w:rFonts w:ascii="Arial" w:eastAsia="Arial" w:hAnsi="Arial" w:cs="Arial"/>
        </w:rPr>
        <w:t>acadêmica</w:t>
      </w:r>
      <w:proofErr w:type="spellEnd"/>
      <w:r w:rsidRPr="00456AB0">
        <w:rPr>
          <w:rFonts w:ascii="Arial" w:eastAsia="Arial" w:hAnsi="Arial" w:cs="Arial"/>
        </w:rPr>
        <w:t xml:space="preserve">, </w:t>
      </w:r>
      <w:proofErr w:type="spellStart"/>
      <w:r w:rsidRPr="00456AB0">
        <w:rPr>
          <w:rFonts w:ascii="Arial" w:eastAsia="Arial" w:hAnsi="Arial" w:cs="Arial"/>
        </w:rPr>
        <w:t>pós-graduação</w:t>
      </w:r>
      <w:proofErr w:type="spellEnd"/>
      <w:r w:rsidRPr="00456AB0">
        <w:rPr>
          <w:rFonts w:ascii="Arial" w:eastAsia="Arial" w:hAnsi="Arial" w:cs="Arial"/>
        </w:rPr>
        <w:t xml:space="preserve">, comunidades de </w:t>
      </w:r>
      <w:proofErr w:type="spellStart"/>
      <w:r w:rsidRPr="00456AB0">
        <w:rPr>
          <w:rFonts w:ascii="Arial" w:eastAsia="Arial" w:hAnsi="Arial" w:cs="Arial"/>
        </w:rPr>
        <w:t>prática</w:t>
      </w:r>
      <w:proofErr w:type="spellEnd"/>
      <w:r w:rsidRPr="00456AB0">
        <w:rPr>
          <w:rFonts w:ascii="Arial" w:eastAsia="Arial" w:hAnsi="Arial" w:cs="Arial"/>
        </w:rPr>
        <w:t>.</w:t>
      </w:r>
    </w:p>
    <w:p w:rsidR="00456AB0" w:rsidRDefault="00456AB0">
      <w:pPr>
        <w:pStyle w:val="normal0"/>
        <w:spacing w:line="360" w:lineRule="auto"/>
        <w:rPr>
          <w:rFonts w:ascii="Arial" w:eastAsia="Arial" w:hAnsi="Arial" w:cs="Arial"/>
          <w:b/>
          <w:bCs/>
          <w:sz w:val="24"/>
          <w:szCs w:val="24"/>
        </w:rPr>
      </w:pPr>
    </w:p>
    <w:p w:rsidR="00456AB0" w:rsidRDefault="009B6668">
      <w:pPr>
        <w:pStyle w:val="normal0"/>
        <w:spacing w:line="360" w:lineRule="auto"/>
        <w:rPr>
          <w:rFonts w:ascii="Arial" w:eastAsia="Arial" w:hAnsi="Arial" w:cs="Arial"/>
          <w:b/>
          <w:bCs/>
          <w:sz w:val="24"/>
          <w:szCs w:val="24"/>
        </w:rPr>
      </w:pPr>
      <w:r>
        <w:rPr>
          <w:rFonts w:ascii="Arial" w:eastAsia="Arial" w:hAnsi="Arial" w:cs="Arial"/>
          <w:b/>
          <w:bCs/>
          <w:sz w:val="24"/>
          <w:szCs w:val="24"/>
        </w:rPr>
        <w:t xml:space="preserve">MODALIDAD: Virtual </w:t>
      </w:r>
    </w:p>
    <w:p w:rsidR="00456AB0" w:rsidRDefault="00456AB0" w:rsidP="00456AB0">
      <w:pPr>
        <w:pStyle w:val="normal0"/>
        <w:spacing w:line="360" w:lineRule="auto"/>
        <w:jc w:val="both"/>
        <w:rPr>
          <w:rFonts w:ascii="Arial" w:eastAsia="Arial" w:hAnsi="Arial" w:cs="Arial"/>
          <w:sz w:val="24"/>
          <w:szCs w:val="24"/>
        </w:rPr>
      </w:pPr>
    </w:p>
    <w:p w:rsidR="00456AB0" w:rsidRPr="00417EEB" w:rsidRDefault="00456AB0" w:rsidP="00456AB0">
      <w:pPr>
        <w:pStyle w:val="normal0"/>
        <w:spacing w:line="360" w:lineRule="auto"/>
        <w:jc w:val="both"/>
        <w:rPr>
          <w:rFonts w:ascii="Arial" w:eastAsia="Arial" w:hAnsi="Arial" w:cs="Arial"/>
          <w:sz w:val="24"/>
          <w:szCs w:val="24"/>
        </w:rPr>
      </w:pPr>
      <w:r w:rsidRPr="00417EEB">
        <w:rPr>
          <w:rFonts w:ascii="Arial" w:eastAsia="Arial" w:hAnsi="Arial" w:cs="Arial"/>
          <w:sz w:val="24"/>
          <w:szCs w:val="24"/>
        </w:rPr>
        <w:t>Este trabajo parte de la idea de que la escritura académica en el nivel de posgrado y más allá se presenta como una práctica social y discursiva compleja que debe ser enseñada y acompañada (</w:t>
      </w:r>
      <w:proofErr w:type="spellStart"/>
      <w:r w:rsidRPr="00417EEB">
        <w:rPr>
          <w:rFonts w:ascii="Arial" w:eastAsia="Arial" w:hAnsi="Arial" w:cs="Arial"/>
          <w:sz w:val="24"/>
          <w:szCs w:val="24"/>
        </w:rPr>
        <w:t>Bazerman</w:t>
      </w:r>
      <w:proofErr w:type="spellEnd"/>
      <w:r w:rsidRPr="00417EEB">
        <w:rPr>
          <w:rFonts w:ascii="Arial" w:eastAsia="Arial" w:hAnsi="Arial" w:cs="Arial"/>
          <w:sz w:val="24"/>
          <w:szCs w:val="24"/>
        </w:rPr>
        <w:t xml:space="preserve">, et al., 2018; Narváez-Cardona &amp; </w:t>
      </w:r>
      <w:proofErr w:type="spellStart"/>
      <w:r w:rsidRPr="00417EEB">
        <w:rPr>
          <w:rFonts w:ascii="Arial" w:eastAsia="Arial" w:hAnsi="Arial" w:cs="Arial"/>
          <w:sz w:val="24"/>
          <w:szCs w:val="24"/>
        </w:rPr>
        <w:t>Chois-Lenis</w:t>
      </w:r>
      <w:proofErr w:type="spellEnd"/>
      <w:r w:rsidRPr="00417EEB">
        <w:rPr>
          <w:rFonts w:ascii="Arial" w:eastAsia="Arial" w:hAnsi="Arial" w:cs="Arial"/>
          <w:sz w:val="24"/>
          <w:szCs w:val="24"/>
        </w:rPr>
        <w:t xml:space="preserve">, 2025). Frente a esta problemática, los grupos de escritura constituyen dispositivos didácticos (Colombo &amp; Morán, 2025) y comunidades de práctica (Colombo, 2012) que pueden dar apoyo a escritores novatos y experimentados. Estos grupos se definen </w:t>
      </w:r>
      <w:r w:rsidRPr="00417EEB">
        <w:rPr>
          <w:rFonts w:ascii="Arial" w:eastAsia="Arial" w:hAnsi="Arial" w:cs="Arial"/>
          <w:sz w:val="24"/>
          <w:szCs w:val="24"/>
        </w:rPr>
        <w:lastRenderedPageBreak/>
        <w:t>como espacios donde dos o más personas se reúnen de manera recurrente con el propósito de redactar, debatir o compartir sus escritos bajo objetivos previamente acordados (</w:t>
      </w:r>
      <w:proofErr w:type="spellStart"/>
      <w:r w:rsidRPr="00417EEB">
        <w:rPr>
          <w:rFonts w:ascii="Arial" w:eastAsia="Arial" w:hAnsi="Arial" w:cs="Arial"/>
          <w:sz w:val="24"/>
          <w:szCs w:val="24"/>
        </w:rPr>
        <w:t>Aitchison</w:t>
      </w:r>
      <w:proofErr w:type="spellEnd"/>
      <w:r w:rsidRPr="00417EEB">
        <w:rPr>
          <w:rFonts w:ascii="Arial" w:eastAsia="Arial" w:hAnsi="Arial" w:cs="Arial"/>
          <w:sz w:val="24"/>
          <w:szCs w:val="24"/>
        </w:rPr>
        <w:t xml:space="preserve"> &amp; </w:t>
      </w:r>
      <w:proofErr w:type="spellStart"/>
      <w:r w:rsidRPr="00417EEB">
        <w:rPr>
          <w:rFonts w:ascii="Arial" w:eastAsia="Arial" w:hAnsi="Arial" w:cs="Arial"/>
          <w:sz w:val="24"/>
          <w:szCs w:val="24"/>
        </w:rPr>
        <w:t>Guerin</w:t>
      </w:r>
      <w:proofErr w:type="spellEnd"/>
      <w:r w:rsidRPr="00417EEB">
        <w:rPr>
          <w:rFonts w:ascii="Arial" w:eastAsia="Arial" w:hAnsi="Arial" w:cs="Arial"/>
          <w:sz w:val="24"/>
          <w:szCs w:val="24"/>
        </w:rPr>
        <w:t>, 2014). En este trabajo resumimos los hallazgos sobre dos tipos específicos de grupos de escritura que hemos implementado y analizado en diferentes países latinoamericanos en la última década: los grupos de escritura de revisión entre pares (GER) y los grupos de escritura concurrentes (GEC) (Colombo &amp; Morán, 2023).</w:t>
      </w:r>
    </w:p>
    <w:p w:rsidR="00456AB0" w:rsidRPr="00417EEB" w:rsidRDefault="00456AB0" w:rsidP="00456AB0">
      <w:pPr>
        <w:pStyle w:val="normal0"/>
        <w:spacing w:line="360" w:lineRule="auto"/>
        <w:jc w:val="both"/>
        <w:rPr>
          <w:rFonts w:ascii="Arial" w:eastAsia="Arial" w:hAnsi="Arial" w:cs="Arial"/>
          <w:sz w:val="24"/>
          <w:szCs w:val="24"/>
        </w:rPr>
      </w:pPr>
      <w:r w:rsidRPr="00417EEB">
        <w:rPr>
          <w:rFonts w:ascii="Arial" w:eastAsia="Arial" w:hAnsi="Arial" w:cs="Arial"/>
          <w:sz w:val="24"/>
          <w:szCs w:val="24"/>
        </w:rPr>
        <w:t xml:space="preserve">Los GER se centran en el intercambio de borradores para recibir retroalimentación constructiva. Los participantes actúan como lectores-prueba que ofrecen comentarios orientados a mejorar la calidad de los escritos, tales como capítulos de tesis, artículos científicos o ponencias. La dinámica de estos grupos sigue un proceso en dos tiempos: en una primera instancia asincrónica se comparten los textos y se realizan comentarios escritos, y en una segunda instancia sincrónica (puede ser presencial o virtual) los participantes se reúnen para discutir los comentarios y los textos dentro de un encuadre dialógico (Álvarez &amp; Colombo, 2023; Colombo &amp; Álvarez, 2021). </w:t>
      </w:r>
    </w:p>
    <w:p w:rsidR="00456AB0" w:rsidRPr="00363232" w:rsidRDefault="00456AB0" w:rsidP="00456AB0">
      <w:pPr>
        <w:pStyle w:val="normal0"/>
        <w:spacing w:line="360" w:lineRule="auto"/>
        <w:jc w:val="both"/>
        <w:rPr>
          <w:rFonts w:ascii="Arial" w:eastAsia="Arial" w:hAnsi="Arial" w:cs="Arial"/>
          <w:sz w:val="24"/>
          <w:szCs w:val="24"/>
        </w:rPr>
      </w:pPr>
      <w:r w:rsidRPr="00417EEB">
        <w:rPr>
          <w:rFonts w:ascii="Arial" w:eastAsia="Arial" w:hAnsi="Arial" w:cs="Arial"/>
          <w:sz w:val="24"/>
          <w:szCs w:val="24"/>
        </w:rPr>
        <w:t xml:space="preserve">Participar en los GER favorece el aprendizaje de prácticas letradas situadas al involucrarse en actividades reales y productivas junto a otras personas (como redactar artículos para publicación o capítulos de tesis) (Colombo, 2017; Rodas &amp; Colombo, 2018). Así, los GER funcionan como un espacio seguro donde los autores ensayan usos específicos de la escritura antes de enfrentarse a audiencias de mayor exposición, como evaluadores de revistas o comités de tesis </w:t>
      </w:r>
      <w:r>
        <w:rPr>
          <w:rFonts w:ascii="Arial" w:eastAsia="Arial" w:hAnsi="Arial" w:cs="Arial"/>
          <w:sz w:val="24"/>
          <w:szCs w:val="24"/>
        </w:rPr>
        <w:t xml:space="preserve">(Colombo &amp; Rodas, 2023; </w:t>
      </w:r>
      <w:r w:rsidRPr="00417EEB">
        <w:rPr>
          <w:rFonts w:ascii="Arial" w:eastAsia="Arial" w:hAnsi="Arial" w:cs="Arial"/>
          <w:sz w:val="24"/>
          <w:szCs w:val="24"/>
        </w:rPr>
        <w:t>Rodas</w:t>
      </w:r>
      <w:r>
        <w:rPr>
          <w:rFonts w:ascii="Arial" w:eastAsia="Arial" w:hAnsi="Arial" w:cs="Arial"/>
          <w:sz w:val="24"/>
          <w:szCs w:val="24"/>
        </w:rPr>
        <w:t xml:space="preserve"> </w:t>
      </w:r>
      <w:r>
        <w:rPr>
          <w:rFonts w:ascii="Arial" w:eastAsia="Arial" w:hAnsi="Arial" w:cs="Arial"/>
          <w:i/>
          <w:sz w:val="24"/>
          <w:szCs w:val="24"/>
        </w:rPr>
        <w:t>et al.</w:t>
      </w:r>
      <w:r w:rsidRPr="00417EEB">
        <w:rPr>
          <w:rFonts w:ascii="Arial" w:eastAsia="Arial" w:hAnsi="Arial" w:cs="Arial"/>
          <w:sz w:val="24"/>
          <w:szCs w:val="24"/>
        </w:rPr>
        <w:t xml:space="preserve">, 2021). A su vez, disminuyen la sensación de aislamiento y ayudan a forjar una identidad autoral (Colombo &amp; Rodas, 2023). Por ejemplo, al verse en el rol de comentaristas, los participantes descubren que poseen un saber-hacer sobre el oficio que muchas veces desconocían, lo que fortalece su </w:t>
      </w:r>
      <w:r w:rsidRPr="00363232">
        <w:rPr>
          <w:rFonts w:ascii="Arial" w:eastAsia="Arial" w:hAnsi="Arial" w:cs="Arial"/>
          <w:sz w:val="24"/>
          <w:szCs w:val="24"/>
        </w:rPr>
        <w:t>autoestima académica</w:t>
      </w:r>
      <w:r w:rsidRPr="00417EEB">
        <w:rPr>
          <w:rFonts w:ascii="Arial" w:eastAsia="Arial" w:hAnsi="Arial" w:cs="Arial"/>
          <w:sz w:val="24"/>
          <w:szCs w:val="24"/>
        </w:rPr>
        <w:t xml:space="preserve"> y valida su propia voz (Colombo, 2013; Colombo &amp; Rodas, 2021; Colombo &amp; Rodas, 2023; Rodas, et al., 2021). </w:t>
      </w:r>
    </w:p>
    <w:p w:rsidR="00456AB0" w:rsidRPr="00417EEB" w:rsidRDefault="00456AB0" w:rsidP="00456AB0">
      <w:pPr>
        <w:pStyle w:val="normal0"/>
        <w:spacing w:line="360" w:lineRule="auto"/>
        <w:jc w:val="both"/>
        <w:rPr>
          <w:rFonts w:ascii="Arial" w:eastAsia="Arial" w:hAnsi="Arial" w:cs="Arial"/>
          <w:sz w:val="24"/>
          <w:szCs w:val="24"/>
        </w:rPr>
      </w:pPr>
      <w:r w:rsidRPr="00417EEB">
        <w:rPr>
          <w:rFonts w:ascii="Arial" w:eastAsia="Arial" w:hAnsi="Arial" w:cs="Arial"/>
          <w:sz w:val="24"/>
          <w:szCs w:val="24"/>
        </w:rPr>
        <w:lastRenderedPageBreak/>
        <w:t xml:space="preserve">Por otro lado, en los GEC los participantes se acompañan en la tarea de </w:t>
      </w:r>
      <w:proofErr w:type="spellStart"/>
      <w:r w:rsidRPr="00417EEB">
        <w:rPr>
          <w:rFonts w:ascii="Arial" w:eastAsia="Arial" w:hAnsi="Arial" w:cs="Arial"/>
          <w:sz w:val="24"/>
          <w:szCs w:val="24"/>
        </w:rPr>
        <w:t>textualización</w:t>
      </w:r>
      <w:proofErr w:type="spellEnd"/>
      <w:r w:rsidRPr="00417EEB">
        <w:rPr>
          <w:rFonts w:ascii="Arial" w:eastAsia="Arial" w:hAnsi="Arial" w:cs="Arial"/>
          <w:sz w:val="24"/>
          <w:szCs w:val="24"/>
        </w:rPr>
        <w:t>. A diferencia de los GER, en este tipo de grupos los participantes no intercambian textos sino solo comparten un mismo tiempo y espacio (físico o virtual) dedicado a avanzar en sus proyectos individuales (</w:t>
      </w:r>
      <w:proofErr w:type="spellStart"/>
      <w:r w:rsidRPr="00417EEB">
        <w:rPr>
          <w:rFonts w:ascii="Arial" w:eastAsia="Arial" w:hAnsi="Arial" w:cs="Arial"/>
          <w:sz w:val="24"/>
          <w:szCs w:val="24"/>
        </w:rPr>
        <w:t>Espeche</w:t>
      </w:r>
      <w:proofErr w:type="spellEnd"/>
      <w:r w:rsidRPr="00417EEB">
        <w:rPr>
          <w:rFonts w:ascii="Arial" w:eastAsia="Arial" w:hAnsi="Arial" w:cs="Arial"/>
          <w:sz w:val="24"/>
          <w:szCs w:val="24"/>
        </w:rPr>
        <w:t xml:space="preserve">, 2024; </w:t>
      </w:r>
      <w:proofErr w:type="spellStart"/>
      <w:r w:rsidRPr="00417EEB">
        <w:rPr>
          <w:rFonts w:ascii="Arial" w:eastAsia="Arial" w:hAnsi="Arial" w:cs="Arial"/>
          <w:sz w:val="24"/>
          <w:szCs w:val="24"/>
        </w:rPr>
        <w:t>Esp</w:t>
      </w:r>
      <w:r>
        <w:rPr>
          <w:rFonts w:ascii="Arial" w:eastAsia="Arial" w:hAnsi="Arial" w:cs="Arial"/>
          <w:sz w:val="24"/>
          <w:szCs w:val="24"/>
        </w:rPr>
        <w:t>eche</w:t>
      </w:r>
      <w:proofErr w:type="spellEnd"/>
      <w:r w:rsidR="00E87122">
        <w:rPr>
          <w:rFonts w:ascii="Arial" w:eastAsia="Arial" w:hAnsi="Arial" w:cs="Arial"/>
          <w:sz w:val="24"/>
          <w:szCs w:val="24"/>
        </w:rPr>
        <w:t xml:space="preserve"> </w:t>
      </w:r>
      <w:r w:rsidR="00E87122">
        <w:rPr>
          <w:rFonts w:ascii="Arial" w:eastAsia="Arial" w:hAnsi="Arial" w:cs="Arial"/>
          <w:i/>
          <w:sz w:val="24"/>
          <w:szCs w:val="24"/>
        </w:rPr>
        <w:t>et al.</w:t>
      </w:r>
      <w:r>
        <w:rPr>
          <w:rFonts w:ascii="Arial" w:eastAsia="Arial" w:hAnsi="Arial" w:cs="Arial"/>
          <w:sz w:val="24"/>
          <w:szCs w:val="24"/>
        </w:rPr>
        <w:t xml:space="preserve">, 2025; </w:t>
      </w:r>
      <w:r w:rsidRPr="00417EEB">
        <w:rPr>
          <w:rFonts w:ascii="Arial" w:eastAsia="Arial" w:hAnsi="Arial" w:cs="Arial"/>
          <w:sz w:val="24"/>
          <w:szCs w:val="24"/>
        </w:rPr>
        <w:t xml:space="preserve">Rodas &amp; Colombo, 2024). Los encuentros suelen organizarse en tres momentos: una presentación inicial donde cada persona establece sus objetivos de avance para la sesión, un bloque de trabajo enfocado y silencioso de duración determinada (generalmente entre 40 y 100 minutos), y un cierre donde cada persona comenta avances y desafíos. </w:t>
      </w:r>
    </w:p>
    <w:p w:rsidR="00456AB0" w:rsidRPr="00417EEB" w:rsidRDefault="00456AB0" w:rsidP="00456AB0">
      <w:pPr>
        <w:pStyle w:val="normal0"/>
        <w:spacing w:line="360" w:lineRule="auto"/>
        <w:jc w:val="both"/>
        <w:rPr>
          <w:rFonts w:ascii="Arial" w:eastAsia="Arial" w:hAnsi="Arial" w:cs="Arial"/>
          <w:sz w:val="24"/>
          <w:szCs w:val="24"/>
        </w:rPr>
      </w:pPr>
      <w:r w:rsidRPr="00417EEB">
        <w:rPr>
          <w:rFonts w:ascii="Arial" w:eastAsia="Arial" w:hAnsi="Arial" w:cs="Arial"/>
          <w:sz w:val="24"/>
          <w:szCs w:val="24"/>
        </w:rPr>
        <w:t xml:space="preserve">Los GEC fomentan la creación de hábitos positivos, incrementan la productividad y permiten </w:t>
      </w:r>
      <w:r w:rsidR="00E87122">
        <w:rPr>
          <w:rFonts w:ascii="Arial" w:eastAsia="Arial" w:hAnsi="Arial" w:cs="Arial"/>
          <w:sz w:val="24"/>
          <w:szCs w:val="24"/>
        </w:rPr>
        <w:t xml:space="preserve">hacer tiempo a la tarea de escribir </w:t>
      </w:r>
      <w:r w:rsidRPr="00417EEB">
        <w:rPr>
          <w:rFonts w:ascii="Arial" w:eastAsia="Arial" w:hAnsi="Arial" w:cs="Arial"/>
          <w:sz w:val="24"/>
          <w:szCs w:val="24"/>
        </w:rPr>
        <w:t>frente a las múltiples demandas de la vida profesional y personal (</w:t>
      </w:r>
      <w:proofErr w:type="spellStart"/>
      <w:r w:rsidRPr="00417EEB">
        <w:rPr>
          <w:rFonts w:ascii="Arial" w:eastAsia="Arial" w:hAnsi="Arial" w:cs="Arial"/>
          <w:sz w:val="24"/>
          <w:szCs w:val="24"/>
        </w:rPr>
        <w:t>Espeche</w:t>
      </w:r>
      <w:proofErr w:type="spellEnd"/>
      <w:r w:rsidRPr="00417EEB">
        <w:rPr>
          <w:rFonts w:ascii="Arial" w:eastAsia="Arial" w:hAnsi="Arial" w:cs="Arial"/>
          <w:sz w:val="24"/>
          <w:szCs w:val="24"/>
        </w:rPr>
        <w:t xml:space="preserve"> </w:t>
      </w:r>
      <w:r w:rsidRPr="00E87122">
        <w:rPr>
          <w:rFonts w:ascii="Arial" w:eastAsia="Arial" w:hAnsi="Arial" w:cs="Arial"/>
          <w:i/>
          <w:sz w:val="24"/>
          <w:szCs w:val="24"/>
        </w:rPr>
        <w:t>et al</w:t>
      </w:r>
      <w:r w:rsidRPr="00417EEB">
        <w:rPr>
          <w:rFonts w:ascii="Arial" w:eastAsia="Arial" w:hAnsi="Arial" w:cs="Arial"/>
          <w:sz w:val="24"/>
          <w:szCs w:val="24"/>
        </w:rPr>
        <w:t xml:space="preserve">., 2025; Rodas &amp; Colombo, 2024). El compromiso asumido ante los pares funciona como un mecanismo de </w:t>
      </w:r>
      <w:proofErr w:type="spellStart"/>
      <w:r w:rsidRPr="00417EEB">
        <w:rPr>
          <w:rFonts w:ascii="Arial" w:eastAsia="Arial" w:hAnsi="Arial" w:cs="Arial"/>
          <w:sz w:val="24"/>
          <w:szCs w:val="24"/>
        </w:rPr>
        <w:t>heterorregulación</w:t>
      </w:r>
      <w:proofErr w:type="spellEnd"/>
      <w:r w:rsidRPr="00417EEB">
        <w:rPr>
          <w:rFonts w:ascii="Arial" w:eastAsia="Arial" w:hAnsi="Arial" w:cs="Arial"/>
          <w:sz w:val="24"/>
          <w:szCs w:val="24"/>
        </w:rPr>
        <w:t xml:space="preserve"> que impulsa a los investigadores a priorizar la escritura, una actividad que a menudo queda </w:t>
      </w:r>
      <w:r w:rsidR="00E87122">
        <w:rPr>
          <w:rFonts w:ascii="Arial" w:eastAsia="Arial" w:hAnsi="Arial" w:cs="Arial"/>
          <w:sz w:val="24"/>
          <w:szCs w:val="24"/>
        </w:rPr>
        <w:t xml:space="preserve">en </w:t>
      </w:r>
      <w:r w:rsidRPr="00417EEB">
        <w:rPr>
          <w:rFonts w:ascii="Arial" w:eastAsia="Arial" w:hAnsi="Arial" w:cs="Arial"/>
          <w:sz w:val="24"/>
          <w:szCs w:val="24"/>
        </w:rPr>
        <w:t>segundo plano. A su vez, los GEC actúan como espacios de catarsis y apoyo emocional donde los miembros descubren que sus pares enfrentan desafíos similares (</w:t>
      </w:r>
      <w:proofErr w:type="spellStart"/>
      <w:r w:rsidR="00E87122">
        <w:rPr>
          <w:rFonts w:ascii="Arial" w:eastAsia="Arial" w:hAnsi="Arial" w:cs="Arial"/>
          <w:sz w:val="24"/>
          <w:szCs w:val="24"/>
        </w:rPr>
        <w:t>Espeche</w:t>
      </w:r>
      <w:proofErr w:type="spellEnd"/>
      <w:r w:rsidRPr="00417EEB">
        <w:rPr>
          <w:rFonts w:ascii="Arial" w:eastAsia="Arial" w:hAnsi="Arial" w:cs="Arial"/>
          <w:sz w:val="24"/>
          <w:szCs w:val="24"/>
        </w:rPr>
        <w:t xml:space="preserve"> </w:t>
      </w:r>
      <w:r w:rsidRPr="00E87122">
        <w:rPr>
          <w:rFonts w:ascii="Arial" w:eastAsia="Arial" w:hAnsi="Arial" w:cs="Arial"/>
          <w:i/>
          <w:sz w:val="24"/>
          <w:szCs w:val="24"/>
        </w:rPr>
        <w:t>et al</w:t>
      </w:r>
      <w:r w:rsidRPr="00417EEB">
        <w:rPr>
          <w:rFonts w:ascii="Arial" w:eastAsia="Arial" w:hAnsi="Arial" w:cs="Arial"/>
          <w:sz w:val="24"/>
          <w:szCs w:val="24"/>
        </w:rPr>
        <w:t>., 2025; Rodas &amp; Colombo, 2024). Esto humaniza la práctica investigativa y permite construir una identidad autoral más realista, despojada del mito del escritor brillante que produce textos de forma espontánea y sin esfuerzo.</w:t>
      </w:r>
    </w:p>
    <w:p w:rsidR="00456AB0" w:rsidRPr="00417EEB" w:rsidRDefault="00456AB0" w:rsidP="00456AB0">
      <w:pPr>
        <w:pStyle w:val="normal0"/>
        <w:spacing w:line="360" w:lineRule="auto"/>
        <w:jc w:val="both"/>
        <w:rPr>
          <w:rFonts w:ascii="Arial" w:eastAsia="Arial" w:hAnsi="Arial" w:cs="Arial"/>
          <w:sz w:val="24"/>
          <w:szCs w:val="24"/>
        </w:rPr>
      </w:pPr>
      <w:r w:rsidRPr="00417EEB">
        <w:rPr>
          <w:rFonts w:ascii="Arial" w:eastAsia="Arial" w:hAnsi="Arial" w:cs="Arial"/>
          <w:sz w:val="24"/>
          <w:szCs w:val="24"/>
        </w:rPr>
        <w:t>Ambos tipos de grupos de escritura comparten beneficios, como la humanización de</w:t>
      </w:r>
      <w:r w:rsidR="00E87122">
        <w:rPr>
          <w:rFonts w:ascii="Arial" w:eastAsia="Arial" w:hAnsi="Arial" w:cs="Arial"/>
          <w:sz w:val="24"/>
          <w:szCs w:val="24"/>
        </w:rPr>
        <w:t xml:space="preserve">l trabajo académico </w:t>
      </w:r>
      <w:r w:rsidRPr="00417EEB">
        <w:rPr>
          <w:rFonts w:ascii="Arial" w:eastAsia="Arial" w:hAnsi="Arial" w:cs="Arial"/>
          <w:sz w:val="24"/>
          <w:szCs w:val="24"/>
        </w:rPr>
        <w:t xml:space="preserve">y la construcción de vínculos afectivos </w:t>
      </w:r>
      <w:r w:rsidR="00E87122">
        <w:rPr>
          <w:rFonts w:ascii="Arial" w:eastAsia="Arial" w:hAnsi="Arial" w:cs="Arial"/>
          <w:sz w:val="24"/>
          <w:szCs w:val="24"/>
        </w:rPr>
        <w:t xml:space="preserve">que sostienen las trayectorias formativas e investigativas (Colombo </w:t>
      </w:r>
      <w:r w:rsidR="00E87122" w:rsidRPr="00E87122">
        <w:rPr>
          <w:rFonts w:ascii="Arial" w:eastAsia="Arial" w:hAnsi="Arial" w:cs="Arial"/>
          <w:i/>
          <w:sz w:val="24"/>
          <w:szCs w:val="24"/>
        </w:rPr>
        <w:t>et al.</w:t>
      </w:r>
      <w:r w:rsidRPr="00417EEB">
        <w:rPr>
          <w:rFonts w:ascii="Arial" w:eastAsia="Arial" w:hAnsi="Arial" w:cs="Arial"/>
          <w:sz w:val="24"/>
          <w:szCs w:val="24"/>
        </w:rPr>
        <w:t xml:space="preserve">, 2020; </w:t>
      </w:r>
      <w:proofErr w:type="spellStart"/>
      <w:r w:rsidRPr="00417EEB">
        <w:rPr>
          <w:rFonts w:ascii="Arial" w:eastAsia="Arial" w:hAnsi="Arial" w:cs="Arial"/>
          <w:sz w:val="24"/>
          <w:szCs w:val="24"/>
        </w:rPr>
        <w:t>Espeche</w:t>
      </w:r>
      <w:proofErr w:type="spellEnd"/>
      <w:r w:rsidRPr="00417EEB">
        <w:rPr>
          <w:rFonts w:ascii="Arial" w:eastAsia="Arial" w:hAnsi="Arial" w:cs="Arial"/>
          <w:sz w:val="24"/>
          <w:szCs w:val="24"/>
        </w:rPr>
        <w:t xml:space="preserve">, </w:t>
      </w:r>
      <w:r w:rsidRPr="00E87122">
        <w:rPr>
          <w:rFonts w:ascii="Arial" w:eastAsia="Arial" w:hAnsi="Arial" w:cs="Arial"/>
          <w:i/>
          <w:sz w:val="24"/>
          <w:szCs w:val="24"/>
        </w:rPr>
        <w:t>et al</w:t>
      </w:r>
      <w:r w:rsidRPr="00417EEB">
        <w:rPr>
          <w:rFonts w:ascii="Arial" w:eastAsia="Arial" w:hAnsi="Arial" w:cs="Arial"/>
          <w:sz w:val="24"/>
          <w:szCs w:val="24"/>
        </w:rPr>
        <w:t xml:space="preserve">., 2025). Estos espacios </w:t>
      </w:r>
      <w:proofErr w:type="spellStart"/>
      <w:r w:rsidRPr="00417EEB">
        <w:rPr>
          <w:rFonts w:ascii="Arial" w:eastAsia="Arial" w:hAnsi="Arial" w:cs="Arial"/>
          <w:sz w:val="24"/>
          <w:szCs w:val="24"/>
        </w:rPr>
        <w:t>horizontalizan</w:t>
      </w:r>
      <w:proofErr w:type="spellEnd"/>
      <w:r w:rsidRPr="00417EEB">
        <w:rPr>
          <w:rFonts w:ascii="Arial" w:eastAsia="Arial" w:hAnsi="Arial" w:cs="Arial"/>
          <w:sz w:val="24"/>
          <w:szCs w:val="24"/>
        </w:rPr>
        <w:t xml:space="preserve"> las relaciones, permitiendo que los investigadores en formación trasciendan las jerarquías verticales típicas de la supervisión tradicional y encuentren un lugar de confianza para compartir inseguridades y logros (Colombo</w:t>
      </w:r>
      <w:r w:rsidR="00620C5D">
        <w:rPr>
          <w:rFonts w:ascii="Arial" w:eastAsia="Arial" w:hAnsi="Arial" w:cs="Arial"/>
          <w:sz w:val="24"/>
          <w:szCs w:val="24"/>
        </w:rPr>
        <w:t xml:space="preserve"> at al., </w:t>
      </w:r>
      <w:r w:rsidRPr="00417EEB">
        <w:rPr>
          <w:rFonts w:ascii="Arial" w:eastAsia="Arial" w:hAnsi="Arial" w:cs="Arial"/>
          <w:sz w:val="24"/>
          <w:szCs w:val="24"/>
        </w:rPr>
        <w:t xml:space="preserve">2022; </w:t>
      </w:r>
      <w:proofErr w:type="spellStart"/>
      <w:r w:rsidRPr="00417EEB">
        <w:rPr>
          <w:rFonts w:ascii="Arial" w:eastAsia="Arial" w:hAnsi="Arial" w:cs="Arial"/>
          <w:sz w:val="24"/>
          <w:szCs w:val="24"/>
        </w:rPr>
        <w:t>Espeche</w:t>
      </w:r>
      <w:proofErr w:type="spellEnd"/>
      <w:r w:rsidRPr="00417EEB">
        <w:rPr>
          <w:rFonts w:ascii="Arial" w:eastAsia="Arial" w:hAnsi="Arial" w:cs="Arial"/>
          <w:sz w:val="24"/>
          <w:szCs w:val="24"/>
        </w:rPr>
        <w:t>, 2024). La virtualidad puede potenciar estas iniciativas, eliminando barreras geográficas y favoreciendo la continuidad del dispositivo en el tiempo (</w:t>
      </w:r>
      <w:proofErr w:type="spellStart"/>
      <w:r w:rsidRPr="00417EEB">
        <w:rPr>
          <w:rFonts w:ascii="Arial" w:eastAsia="Arial" w:hAnsi="Arial" w:cs="Arial"/>
          <w:sz w:val="24"/>
          <w:szCs w:val="24"/>
        </w:rPr>
        <w:t>Espeche</w:t>
      </w:r>
      <w:proofErr w:type="spellEnd"/>
      <w:r w:rsidR="00620C5D">
        <w:rPr>
          <w:rFonts w:ascii="Arial" w:eastAsia="Arial" w:hAnsi="Arial" w:cs="Arial"/>
          <w:sz w:val="24"/>
          <w:szCs w:val="24"/>
        </w:rPr>
        <w:t xml:space="preserve"> </w:t>
      </w:r>
      <w:r w:rsidR="00620C5D">
        <w:rPr>
          <w:rFonts w:ascii="Arial" w:eastAsia="Arial" w:hAnsi="Arial" w:cs="Arial"/>
          <w:i/>
          <w:sz w:val="24"/>
          <w:szCs w:val="24"/>
        </w:rPr>
        <w:t>et al.</w:t>
      </w:r>
      <w:r w:rsidRPr="00417EEB">
        <w:rPr>
          <w:rFonts w:ascii="Arial" w:eastAsia="Arial" w:hAnsi="Arial" w:cs="Arial"/>
          <w:sz w:val="24"/>
          <w:szCs w:val="24"/>
        </w:rPr>
        <w:t xml:space="preserve">, 2024). En los grupos virtuales, la comunicación sincrónica por </w:t>
      </w:r>
      <w:proofErr w:type="spellStart"/>
      <w:r w:rsidRPr="00417EEB">
        <w:rPr>
          <w:rFonts w:ascii="Arial" w:eastAsia="Arial" w:hAnsi="Arial" w:cs="Arial"/>
          <w:sz w:val="24"/>
          <w:szCs w:val="24"/>
        </w:rPr>
        <w:t>videollamada</w:t>
      </w:r>
      <w:proofErr w:type="spellEnd"/>
      <w:r w:rsidRPr="00417EEB">
        <w:rPr>
          <w:rFonts w:ascii="Arial" w:eastAsia="Arial" w:hAnsi="Arial" w:cs="Arial"/>
          <w:sz w:val="24"/>
          <w:szCs w:val="24"/>
        </w:rPr>
        <w:t xml:space="preserve"> es valorada </w:t>
      </w:r>
      <w:r w:rsidRPr="00417EEB">
        <w:rPr>
          <w:rFonts w:ascii="Arial" w:eastAsia="Arial" w:hAnsi="Arial" w:cs="Arial"/>
          <w:sz w:val="24"/>
          <w:szCs w:val="24"/>
        </w:rPr>
        <w:lastRenderedPageBreak/>
        <w:t>positivamente por permitir una presencia social que fortalece el sentimiento de comunidad (</w:t>
      </w:r>
      <w:proofErr w:type="spellStart"/>
      <w:r w:rsidRPr="00417EEB">
        <w:rPr>
          <w:rFonts w:ascii="Arial" w:eastAsia="Arial" w:hAnsi="Arial" w:cs="Arial"/>
          <w:sz w:val="24"/>
          <w:szCs w:val="24"/>
        </w:rPr>
        <w:t>Espeche</w:t>
      </w:r>
      <w:proofErr w:type="spellEnd"/>
      <w:r w:rsidRPr="00417EEB">
        <w:rPr>
          <w:rFonts w:ascii="Arial" w:eastAsia="Arial" w:hAnsi="Arial" w:cs="Arial"/>
          <w:sz w:val="24"/>
          <w:szCs w:val="24"/>
        </w:rPr>
        <w:t xml:space="preserve"> &amp; Colombo, 2024). </w:t>
      </w:r>
    </w:p>
    <w:p w:rsidR="00456AB0" w:rsidRPr="00417EEB" w:rsidRDefault="00456AB0" w:rsidP="00456AB0">
      <w:pPr>
        <w:pStyle w:val="normal0"/>
        <w:spacing w:line="360" w:lineRule="auto"/>
        <w:jc w:val="both"/>
        <w:rPr>
          <w:rFonts w:ascii="Arial" w:eastAsia="Arial" w:hAnsi="Arial" w:cs="Arial"/>
          <w:sz w:val="24"/>
          <w:szCs w:val="24"/>
        </w:rPr>
      </w:pPr>
      <w:r w:rsidRPr="00417EEB">
        <w:rPr>
          <w:rFonts w:ascii="Arial" w:eastAsia="Arial" w:hAnsi="Arial" w:cs="Arial"/>
          <w:sz w:val="24"/>
          <w:szCs w:val="24"/>
        </w:rPr>
        <w:t>No obstante, el funcionamiento exitoso de los GER y GEC depende de factores logísticos, cognitivos e interpersonales (</w:t>
      </w:r>
      <w:proofErr w:type="spellStart"/>
      <w:r w:rsidRPr="00417EEB">
        <w:rPr>
          <w:rFonts w:ascii="Arial" w:eastAsia="Arial" w:hAnsi="Arial" w:cs="Arial"/>
          <w:sz w:val="24"/>
          <w:szCs w:val="24"/>
        </w:rPr>
        <w:t>Espeche</w:t>
      </w:r>
      <w:proofErr w:type="spellEnd"/>
      <w:r w:rsidRPr="00417EEB">
        <w:rPr>
          <w:rFonts w:ascii="Arial" w:eastAsia="Arial" w:hAnsi="Arial" w:cs="Arial"/>
          <w:sz w:val="24"/>
          <w:szCs w:val="24"/>
        </w:rPr>
        <w:t xml:space="preserve"> </w:t>
      </w:r>
      <w:r w:rsidRPr="00620C5D">
        <w:rPr>
          <w:rFonts w:ascii="Arial" w:eastAsia="Arial" w:hAnsi="Arial" w:cs="Arial"/>
          <w:i/>
          <w:sz w:val="24"/>
          <w:szCs w:val="24"/>
        </w:rPr>
        <w:t>et al</w:t>
      </w:r>
      <w:r w:rsidRPr="00417EEB">
        <w:rPr>
          <w:rFonts w:ascii="Arial" w:eastAsia="Arial" w:hAnsi="Arial" w:cs="Arial"/>
          <w:sz w:val="24"/>
          <w:szCs w:val="24"/>
        </w:rPr>
        <w:t>., 2024). El nivel de compromiso de los miembros</w:t>
      </w:r>
      <w:r w:rsidR="00331B9A">
        <w:rPr>
          <w:rFonts w:ascii="Arial" w:eastAsia="Arial" w:hAnsi="Arial" w:cs="Arial"/>
          <w:sz w:val="24"/>
          <w:szCs w:val="24"/>
        </w:rPr>
        <w:t xml:space="preserve"> (Colombo &amp; Rodas, 2023; </w:t>
      </w:r>
      <w:proofErr w:type="spellStart"/>
      <w:r w:rsidR="00331B9A">
        <w:rPr>
          <w:rFonts w:ascii="Arial" w:eastAsia="Arial" w:hAnsi="Arial" w:cs="Arial"/>
          <w:sz w:val="24"/>
          <w:szCs w:val="24"/>
        </w:rPr>
        <w:t>Espeche</w:t>
      </w:r>
      <w:proofErr w:type="spellEnd"/>
      <w:r w:rsidR="00331B9A">
        <w:rPr>
          <w:rFonts w:ascii="Arial" w:eastAsia="Arial" w:hAnsi="Arial" w:cs="Arial"/>
          <w:sz w:val="24"/>
          <w:szCs w:val="24"/>
        </w:rPr>
        <w:t xml:space="preserve"> </w:t>
      </w:r>
      <w:r w:rsidR="00331B9A">
        <w:rPr>
          <w:rFonts w:ascii="Arial" w:eastAsia="Arial" w:hAnsi="Arial" w:cs="Arial"/>
          <w:i/>
          <w:sz w:val="24"/>
          <w:szCs w:val="24"/>
        </w:rPr>
        <w:t xml:space="preserve">et al., 2024; </w:t>
      </w:r>
      <w:proofErr w:type="spellStart"/>
      <w:r w:rsidR="00331B9A">
        <w:rPr>
          <w:rFonts w:ascii="Arial" w:eastAsia="Arial" w:hAnsi="Arial" w:cs="Arial"/>
          <w:sz w:val="24"/>
          <w:szCs w:val="24"/>
        </w:rPr>
        <w:t>Espeche</w:t>
      </w:r>
      <w:proofErr w:type="spellEnd"/>
      <w:r w:rsidR="00331B9A">
        <w:rPr>
          <w:rFonts w:ascii="Arial" w:eastAsia="Arial" w:hAnsi="Arial" w:cs="Arial"/>
          <w:sz w:val="24"/>
          <w:szCs w:val="24"/>
        </w:rPr>
        <w:t xml:space="preserve"> </w:t>
      </w:r>
      <w:r w:rsidR="00331B9A">
        <w:rPr>
          <w:rFonts w:ascii="Arial" w:eastAsia="Arial" w:hAnsi="Arial" w:cs="Arial"/>
          <w:i/>
          <w:sz w:val="24"/>
          <w:szCs w:val="24"/>
        </w:rPr>
        <w:t>et al., 2025</w:t>
      </w:r>
      <w:r w:rsidR="00331B9A">
        <w:rPr>
          <w:rFonts w:ascii="Arial" w:eastAsia="Arial" w:hAnsi="Arial" w:cs="Arial"/>
          <w:sz w:val="24"/>
          <w:szCs w:val="24"/>
        </w:rPr>
        <w:t>)</w:t>
      </w:r>
      <w:r w:rsidRPr="00417EEB">
        <w:rPr>
          <w:rFonts w:ascii="Arial" w:eastAsia="Arial" w:hAnsi="Arial" w:cs="Arial"/>
          <w:sz w:val="24"/>
          <w:szCs w:val="24"/>
        </w:rPr>
        <w:t xml:space="preserve">, el establecimiento de pautas claras y el andamiaje proporcionado por un facilitador o coordinador </w:t>
      </w:r>
      <w:r w:rsidR="005E794D">
        <w:rPr>
          <w:rFonts w:ascii="Arial" w:eastAsia="Arial" w:hAnsi="Arial" w:cs="Arial"/>
          <w:sz w:val="24"/>
          <w:szCs w:val="24"/>
        </w:rPr>
        <w:t xml:space="preserve">(Colombo y Rodas, 2020; </w:t>
      </w:r>
      <w:proofErr w:type="spellStart"/>
      <w:r w:rsidR="005E794D">
        <w:rPr>
          <w:rFonts w:ascii="Arial" w:eastAsia="Arial" w:hAnsi="Arial" w:cs="Arial"/>
          <w:sz w:val="24"/>
          <w:szCs w:val="24"/>
        </w:rPr>
        <w:t>Espeche</w:t>
      </w:r>
      <w:proofErr w:type="spellEnd"/>
      <w:r w:rsidR="005E794D">
        <w:rPr>
          <w:rFonts w:ascii="Arial" w:eastAsia="Arial" w:hAnsi="Arial" w:cs="Arial"/>
          <w:sz w:val="24"/>
          <w:szCs w:val="24"/>
        </w:rPr>
        <w:t xml:space="preserve"> </w:t>
      </w:r>
      <w:r w:rsidR="005E794D" w:rsidRPr="005E794D">
        <w:rPr>
          <w:rFonts w:ascii="Arial" w:eastAsia="Arial" w:hAnsi="Arial" w:cs="Arial"/>
          <w:i/>
          <w:sz w:val="24"/>
          <w:szCs w:val="24"/>
        </w:rPr>
        <w:t>et al</w:t>
      </w:r>
      <w:r w:rsidR="005E794D">
        <w:rPr>
          <w:rFonts w:ascii="Arial" w:eastAsia="Arial" w:hAnsi="Arial" w:cs="Arial"/>
          <w:sz w:val="24"/>
          <w:szCs w:val="24"/>
        </w:rPr>
        <w:t xml:space="preserve">., 2025; </w:t>
      </w:r>
      <w:proofErr w:type="spellStart"/>
      <w:r w:rsidR="005E794D">
        <w:rPr>
          <w:rFonts w:ascii="Arial" w:eastAsia="Arial" w:hAnsi="Arial" w:cs="Arial"/>
          <w:sz w:val="24"/>
          <w:szCs w:val="24"/>
        </w:rPr>
        <w:t>Espeche</w:t>
      </w:r>
      <w:proofErr w:type="spellEnd"/>
      <w:r w:rsidR="005E794D">
        <w:rPr>
          <w:rFonts w:ascii="Arial" w:eastAsia="Arial" w:hAnsi="Arial" w:cs="Arial"/>
          <w:sz w:val="24"/>
          <w:szCs w:val="24"/>
        </w:rPr>
        <w:t xml:space="preserve"> &amp; Colombo, 2024; Rodas </w:t>
      </w:r>
      <w:r w:rsidR="005E794D">
        <w:rPr>
          <w:rFonts w:ascii="Arial" w:eastAsia="Arial" w:hAnsi="Arial" w:cs="Arial"/>
          <w:i/>
          <w:sz w:val="24"/>
          <w:szCs w:val="24"/>
        </w:rPr>
        <w:t>et al.</w:t>
      </w:r>
      <w:r w:rsidR="005E794D">
        <w:rPr>
          <w:rFonts w:ascii="Arial" w:eastAsia="Arial" w:hAnsi="Arial" w:cs="Arial"/>
          <w:sz w:val="24"/>
          <w:szCs w:val="24"/>
        </w:rPr>
        <w:t xml:space="preserve">, 2024) </w:t>
      </w:r>
      <w:r w:rsidRPr="00417EEB">
        <w:rPr>
          <w:rFonts w:ascii="Arial" w:eastAsia="Arial" w:hAnsi="Arial" w:cs="Arial"/>
          <w:sz w:val="24"/>
          <w:szCs w:val="24"/>
        </w:rPr>
        <w:t xml:space="preserve">son elementos críticos para la sostenibilidad de ambos tipos de grupos. El desafío de contar con tiempo para involucrarse en uno u otro tipo de grupo sigue siendo la principal barrera </w:t>
      </w:r>
      <w:r w:rsidR="00620C5D">
        <w:rPr>
          <w:rFonts w:ascii="Arial" w:eastAsia="Arial" w:hAnsi="Arial" w:cs="Arial"/>
          <w:sz w:val="24"/>
          <w:szCs w:val="24"/>
        </w:rPr>
        <w:t>identificada por quienes dejan de participar de los grupos</w:t>
      </w:r>
      <w:r w:rsidRPr="00417EEB">
        <w:rPr>
          <w:rFonts w:ascii="Arial" w:eastAsia="Arial" w:hAnsi="Arial" w:cs="Arial"/>
          <w:sz w:val="24"/>
          <w:szCs w:val="24"/>
        </w:rPr>
        <w:t>, ya que los integrantes a menudo deben realizar esfuerzos adicionales para cumplir con los plazos de entrega y asistencia</w:t>
      </w:r>
      <w:r w:rsidR="005E794D">
        <w:rPr>
          <w:rFonts w:ascii="Arial" w:eastAsia="Arial" w:hAnsi="Arial" w:cs="Arial"/>
          <w:sz w:val="24"/>
          <w:szCs w:val="24"/>
        </w:rPr>
        <w:t xml:space="preserve"> (Colombo &amp; Álvarez, 2021</w:t>
      </w:r>
      <w:r w:rsidR="00413A7C">
        <w:rPr>
          <w:rFonts w:ascii="Arial" w:eastAsia="Arial" w:hAnsi="Arial" w:cs="Arial"/>
          <w:sz w:val="24"/>
          <w:szCs w:val="24"/>
        </w:rPr>
        <w:t xml:space="preserve">; Rodas &amp; Colombo, 2024; Rodas </w:t>
      </w:r>
      <w:r w:rsidR="00413A7C">
        <w:rPr>
          <w:rFonts w:ascii="Arial" w:eastAsia="Arial" w:hAnsi="Arial" w:cs="Arial"/>
          <w:i/>
          <w:sz w:val="24"/>
          <w:szCs w:val="24"/>
        </w:rPr>
        <w:t>et al</w:t>
      </w:r>
      <w:r w:rsidR="00413A7C">
        <w:rPr>
          <w:rFonts w:ascii="Arial" w:eastAsia="Arial" w:hAnsi="Arial" w:cs="Arial"/>
          <w:sz w:val="24"/>
          <w:szCs w:val="24"/>
        </w:rPr>
        <w:t xml:space="preserve">., 2021). </w:t>
      </w:r>
      <w:r w:rsidRPr="00417EEB">
        <w:rPr>
          <w:rFonts w:ascii="Arial" w:eastAsia="Arial" w:hAnsi="Arial" w:cs="Arial"/>
          <w:sz w:val="24"/>
          <w:szCs w:val="24"/>
        </w:rPr>
        <w:t xml:space="preserve">A pesar de estos retos, encontramos que los GER y los GEC constituyen dispositivos pedagógicos que no solo mejoran los textos, sino que —lo que quizás sea aún más importante— transforman a los escritores y sus modos de habitar la vida académica. </w:t>
      </w:r>
    </w:p>
    <w:p w:rsidR="00456AB0" w:rsidRPr="00417EEB" w:rsidRDefault="00456AB0" w:rsidP="002E2515">
      <w:pPr>
        <w:pStyle w:val="normal0"/>
        <w:spacing w:line="360" w:lineRule="auto"/>
        <w:jc w:val="both"/>
        <w:rPr>
          <w:rFonts w:ascii="Arial" w:eastAsia="Arial" w:hAnsi="Arial" w:cs="Arial"/>
          <w:sz w:val="24"/>
          <w:szCs w:val="24"/>
        </w:rPr>
      </w:pPr>
      <w:r w:rsidRPr="00417EEB">
        <w:rPr>
          <w:rFonts w:ascii="Arial" w:eastAsia="Arial" w:hAnsi="Arial" w:cs="Arial"/>
          <w:sz w:val="24"/>
          <w:szCs w:val="24"/>
        </w:rPr>
        <w:t xml:space="preserve">En conclusión, tanto los GER como los GEC ofrecen respuestas a las necesidades de los investigadores en formación y expertos. Ambas modalidades hacen foco en el hecho de que el aprendizaje de la escritura científico-académica no se da </w:t>
      </w:r>
      <w:r w:rsidR="005E794D">
        <w:rPr>
          <w:rFonts w:ascii="Arial" w:eastAsia="Arial" w:hAnsi="Arial" w:cs="Arial"/>
          <w:sz w:val="24"/>
          <w:szCs w:val="24"/>
        </w:rPr>
        <w:t xml:space="preserve">de una vez y para siempre ni </w:t>
      </w:r>
      <w:r w:rsidRPr="00417EEB">
        <w:rPr>
          <w:rFonts w:ascii="Arial" w:eastAsia="Arial" w:hAnsi="Arial" w:cs="Arial"/>
          <w:sz w:val="24"/>
          <w:szCs w:val="24"/>
        </w:rPr>
        <w:t xml:space="preserve">en forma aislada, sino que es un proceso colectivo y situado que merece espacios protegidos para su desarrollo. Nuestras investigaciones muestran que la participación sostenida en grupos de escritura permite a los investigadores no solo mejorar sus textos, sino también </w:t>
      </w:r>
      <w:r w:rsidRPr="00363232">
        <w:rPr>
          <w:rFonts w:ascii="Arial" w:eastAsia="Arial" w:hAnsi="Arial" w:cs="Arial"/>
          <w:sz w:val="24"/>
          <w:szCs w:val="24"/>
        </w:rPr>
        <w:t>reformular su identidad</w:t>
      </w:r>
      <w:r w:rsidRPr="00417EEB">
        <w:rPr>
          <w:rFonts w:ascii="Arial" w:eastAsia="Arial" w:hAnsi="Arial" w:cs="Arial"/>
          <w:sz w:val="24"/>
          <w:szCs w:val="24"/>
        </w:rPr>
        <w:t xml:space="preserve">, asumiendo su lugar como autores con autoridad para participar en las conversaciones científicas de sus respectivos campos. No planteamos que estos espacios deban suplir las responsabilidades que deben ser asumidas por las instituciones o por los directores de tesis, sino que funcionen como un </w:t>
      </w:r>
      <w:r w:rsidRPr="000026B5">
        <w:rPr>
          <w:rFonts w:ascii="Arial" w:eastAsia="Arial" w:hAnsi="Arial" w:cs="Arial"/>
          <w:sz w:val="24"/>
          <w:szCs w:val="24"/>
        </w:rPr>
        <w:t>complemento necesario</w:t>
      </w:r>
      <w:r w:rsidRPr="00417EEB">
        <w:rPr>
          <w:rFonts w:ascii="Arial" w:eastAsia="Arial" w:hAnsi="Arial" w:cs="Arial"/>
          <w:sz w:val="24"/>
          <w:szCs w:val="24"/>
        </w:rPr>
        <w:t xml:space="preserve"> que aporta horizontalidad y </w:t>
      </w:r>
      <w:r w:rsidRPr="00417EEB">
        <w:rPr>
          <w:rFonts w:ascii="Arial" w:eastAsia="Arial" w:hAnsi="Arial" w:cs="Arial"/>
          <w:sz w:val="24"/>
          <w:szCs w:val="24"/>
        </w:rPr>
        <w:lastRenderedPageBreak/>
        <w:t xml:space="preserve">contención a la formación en investigación. El aprendizaje de las prácticas letradas no se da en forma aislada ni debiera ser sola responsabilidad de quien encara el camino de la investigación. </w:t>
      </w:r>
      <w:r w:rsidR="005E794D">
        <w:rPr>
          <w:rFonts w:ascii="Arial" w:eastAsia="Arial" w:hAnsi="Arial" w:cs="Arial"/>
          <w:sz w:val="24"/>
          <w:szCs w:val="24"/>
        </w:rPr>
        <w:t xml:space="preserve">Por ello, creemos que se deberían instalar </w:t>
      </w:r>
      <w:r w:rsidRPr="00417EEB">
        <w:rPr>
          <w:rFonts w:ascii="Arial" w:eastAsia="Arial" w:hAnsi="Arial" w:cs="Arial"/>
          <w:sz w:val="24"/>
          <w:szCs w:val="24"/>
        </w:rPr>
        <w:t xml:space="preserve">más espacios donde aprender </w:t>
      </w:r>
      <w:r w:rsidR="005E794D">
        <w:rPr>
          <w:rFonts w:ascii="Arial" w:eastAsia="Arial" w:hAnsi="Arial" w:cs="Arial"/>
          <w:sz w:val="24"/>
          <w:szCs w:val="24"/>
        </w:rPr>
        <w:t xml:space="preserve">junto con otros </w:t>
      </w:r>
      <w:r w:rsidRPr="00417EEB">
        <w:rPr>
          <w:rFonts w:ascii="Arial" w:eastAsia="Arial" w:hAnsi="Arial" w:cs="Arial"/>
          <w:sz w:val="24"/>
          <w:szCs w:val="24"/>
        </w:rPr>
        <w:t xml:space="preserve">en forma situada, democrática, crítica y a través del diálogo el ejercicio de las prácticas letradas asociadas con la investigación. </w:t>
      </w:r>
    </w:p>
    <w:p w:rsidR="008B3DF1" w:rsidRPr="00456AB0" w:rsidRDefault="009B6668" w:rsidP="002E2515">
      <w:pPr>
        <w:pStyle w:val="normal0"/>
        <w:spacing w:line="360" w:lineRule="auto"/>
        <w:rPr>
          <w:lang w:val="en-US"/>
        </w:rPr>
      </w:pPr>
      <w:r w:rsidRPr="00456AB0">
        <w:rPr>
          <w:rFonts w:ascii="Arial" w:eastAsia="Arial" w:hAnsi="Arial" w:cs="Arial"/>
          <w:b/>
          <w:bCs/>
          <w:sz w:val="24"/>
          <w:szCs w:val="24"/>
          <w:lang w:val="en-US"/>
        </w:rPr>
        <w:t>REFERENCIAS</w:t>
      </w:r>
    </w:p>
    <w:p w:rsidR="00456AB0" w:rsidRPr="00456AB0" w:rsidRDefault="00456AB0" w:rsidP="002E2515">
      <w:pPr>
        <w:spacing w:after="0" w:line="360" w:lineRule="auto"/>
        <w:ind w:left="720" w:hanging="720"/>
        <w:rPr>
          <w:rFonts w:ascii="Arial" w:hAnsi="Arial" w:cs="Arial"/>
          <w:noProof/>
          <w:sz w:val="24"/>
          <w:szCs w:val="24"/>
          <w:lang w:val="en-US"/>
        </w:rPr>
      </w:pPr>
      <w:r w:rsidRPr="00456AB0">
        <w:rPr>
          <w:rFonts w:ascii="Arial" w:hAnsi="Arial" w:cs="Arial"/>
          <w:noProof/>
          <w:sz w:val="24"/>
          <w:szCs w:val="24"/>
          <w:lang w:val="en-US"/>
        </w:rPr>
        <w:t xml:space="preserve">Aitchison, C., &amp; Guerin, C. (Eds.). (2014). </w:t>
      </w:r>
      <w:r w:rsidRPr="00456AB0">
        <w:rPr>
          <w:rFonts w:ascii="Arial" w:hAnsi="Arial" w:cs="Arial"/>
          <w:i/>
          <w:noProof/>
          <w:sz w:val="24"/>
          <w:szCs w:val="24"/>
          <w:lang w:val="en-US"/>
        </w:rPr>
        <w:t>Writing groups for doctoral education and beyond: Innovations in practice and theory</w:t>
      </w:r>
      <w:r w:rsidRPr="00456AB0">
        <w:rPr>
          <w:rFonts w:ascii="Arial" w:hAnsi="Arial" w:cs="Arial"/>
          <w:noProof/>
          <w:sz w:val="24"/>
          <w:szCs w:val="24"/>
          <w:lang w:val="en-US"/>
        </w:rPr>
        <w:t>. Routledge.</w:t>
      </w:r>
    </w:p>
    <w:p w:rsidR="00456AB0" w:rsidRPr="00456AB0" w:rsidRDefault="00456AB0" w:rsidP="002E2515">
      <w:pPr>
        <w:spacing w:after="0" w:line="360" w:lineRule="auto"/>
        <w:ind w:left="720" w:hanging="720"/>
        <w:rPr>
          <w:rFonts w:ascii="Arial" w:hAnsi="Arial" w:cs="Arial"/>
          <w:noProof/>
          <w:sz w:val="24"/>
          <w:szCs w:val="24"/>
          <w:lang w:val="en-US"/>
        </w:rPr>
      </w:pPr>
      <w:r w:rsidRPr="00456AB0">
        <w:rPr>
          <w:rFonts w:ascii="Arial" w:hAnsi="Arial" w:cs="Arial"/>
          <w:noProof/>
          <w:sz w:val="24"/>
          <w:szCs w:val="24"/>
          <w:lang w:val="en-US"/>
        </w:rPr>
        <w:t xml:space="preserve">Álvarez, G., &amp; Colombo, L. (2023). Dialogic approaches to writing: Student perspectives on two Argentinian doctoral initiatives. </w:t>
      </w:r>
      <w:r w:rsidRPr="00456AB0">
        <w:rPr>
          <w:rFonts w:ascii="Arial" w:hAnsi="Arial" w:cs="Arial"/>
          <w:i/>
          <w:noProof/>
          <w:sz w:val="24"/>
          <w:szCs w:val="24"/>
          <w:lang w:val="en-US"/>
        </w:rPr>
        <w:t>Teaching in Higher Education, 28</w:t>
      </w:r>
      <w:r w:rsidRPr="00456AB0">
        <w:rPr>
          <w:rFonts w:ascii="Arial" w:hAnsi="Arial" w:cs="Arial"/>
          <w:noProof/>
          <w:sz w:val="24"/>
          <w:szCs w:val="24"/>
          <w:lang w:val="en-US"/>
        </w:rPr>
        <w:t xml:space="preserve">(8), 2121-2134. </w:t>
      </w:r>
      <w:hyperlink r:id="rId8" w:history="1">
        <w:r w:rsidR="003E28EB" w:rsidRPr="00356CA3">
          <w:rPr>
            <w:rStyle w:val="Hyperlink"/>
            <w:rFonts w:ascii="Arial" w:hAnsi="Arial" w:cs="Arial"/>
            <w:noProof/>
            <w:sz w:val="24"/>
            <w:szCs w:val="24"/>
            <w:lang w:val="en-US"/>
          </w:rPr>
          <w:t>https://doi.org/2110.1080/13562517.13562021.11952566</w:t>
        </w:r>
      </w:hyperlink>
      <w:r w:rsidR="003E28EB">
        <w:rPr>
          <w:rFonts w:ascii="Arial" w:hAnsi="Arial" w:cs="Arial"/>
          <w:noProof/>
          <w:sz w:val="24"/>
          <w:szCs w:val="24"/>
          <w:lang w:val="en-US"/>
        </w:rPr>
        <w:t xml:space="preserve"> </w:t>
      </w:r>
    </w:p>
    <w:p w:rsidR="00456AB0" w:rsidRPr="00456AB0" w:rsidRDefault="00456AB0" w:rsidP="002E2515">
      <w:pPr>
        <w:spacing w:after="0" w:line="360" w:lineRule="auto"/>
        <w:ind w:left="720" w:hanging="720"/>
        <w:rPr>
          <w:rFonts w:ascii="Arial" w:hAnsi="Arial" w:cs="Arial"/>
          <w:noProof/>
          <w:sz w:val="24"/>
          <w:szCs w:val="24"/>
          <w:lang w:val="en-US"/>
        </w:rPr>
      </w:pPr>
      <w:r w:rsidRPr="00456AB0">
        <w:rPr>
          <w:rFonts w:ascii="Arial" w:hAnsi="Arial" w:cs="Arial"/>
          <w:noProof/>
          <w:sz w:val="24"/>
          <w:szCs w:val="24"/>
          <w:lang w:val="en-US"/>
        </w:rPr>
        <w:t xml:space="preserve">Bazerman, C., Applebee, A. N., Berninger, V., Brandt, D., Graham, S., Jeffery, J., et al. (2018). </w:t>
      </w:r>
      <w:r w:rsidRPr="00456AB0">
        <w:rPr>
          <w:rFonts w:ascii="Arial" w:hAnsi="Arial" w:cs="Arial"/>
          <w:i/>
          <w:noProof/>
          <w:sz w:val="24"/>
          <w:szCs w:val="24"/>
          <w:lang w:val="en-US"/>
        </w:rPr>
        <w:t>The lifespan development of writing</w:t>
      </w:r>
      <w:r w:rsidRPr="00456AB0">
        <w:rPr>
          <w:rFonts w:ascii="Arial" w:hAnsi="Arial" w:cs="Arial"/>
          <w:noProof/>
          <w:sz w:val="24"/>
          <w:szCs w:val="24"/>
          <w:lang w:val="en-US"/>
        </w:rPr>
        <w:t>. National Council of Teachers of English.</w:t>
      </w:r>
    </w:p>
    <w:p w:rsidR="003E28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Colombo, L. (2012). Escritura de posgrado y aprendizaje situado. </w:t>
      </w:r>
      <w:r w:rsidR="003E28EB">
        <w:rPr>
          <w:rFonts w:ascii="Arial" w:hAnsi="Arial" w:cs="Arial"/>
          <w:noProof/>
          <w:sz w:val="24"/>
          <w:szCs w:val="24"/>
        </w:rPr>
        <w:t>E</w:t>
      </w:r>
      <w:r w:rsidRPr="00417EEB">
        <w:rPr>
          <w:rFonts w:ascii="Arial" w:hAnsi="Arial" w:cs="Arial"/>
          <w:noProof/>
          <w:sz w:val="24"/>
          <w:szCs w:val="24"/>
        </w:rPr>
        <w:t xml:space="preserve">n Facultad de Psicología de la Universidad de Buenos Aires (Ed.), </w:t>
      </w:r>
      <w:r w:rsidRPr="00417EEB">
        <w:rPr>
          <w:rFonts w:ascii="Arial" w:hAnsi="Arial" w:cs="Arial"/>
          <w:i/>
          <w:noProof/>
          <w:sz w:val="24"/>
          <w:szCs w:val="24"/>
        </w:rPr>
        <w:t>Memorias del IV Congreso Internacional de Investigación y Práctica Profesional en Psicología - XIX Jornadas de Investigación - VIII Encuentro de Investigadores en Psicología del MERCOSUR [en CD]</w:t>
      </w:r>
      <w:r w:rsidRPr="00417EEB">
        <w:rPr>
          <w:rFonts w:ascii="Arial" w:hAnsi="Arial" w:cs="Arial"/>
          <w:noProof/>
          <w:sz w:val="24"/>
          <w:szCs w:val="24"/>
        </w:rPr>
        <w:t xml:space="preserve"> (Vol. 1, pp. 82-85). Buenos Aires, Argentina: Ediciones de la Facultad de Psicología - Universidad de Buenos Aires. </w:t>
      </w:r>
    </w:p>
    <w:p w:rsidR="00456AB0" w:rsidRPr="007F1CD0"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Colombo, L. (2013). Una experiencia pedagógica con grupos de escritura en el posgrado. </w:t>
      </w:r>
      <w:r w:rsidRPr="00417EEB">
        <w:rPr>
          <w:rFonts w:ascii="Arial" w:hAnsi="Arial" w:cs="Arial"/>
          <w:i/>
          <w:noProof/>
          <w:sz w:val="24"/>
          <w:szCs w:val="24"/>
        </w:rPr>
        <w:t>Aula Universitaria, 15</w:t>
      </w:r>
      <w:r w:rsidRPr="00417EEB">
        <w:rPr>
          <w:rFonts w:ascii="Arial" w:hAnsi="Arial" w:cs="Arial"/>
          <w:noProof/>
          <w:sz w:val="24"/>
          <w:szCs w:val="24"/>
        </w:rPr>
        <w:t xml:space="preserve">, 61-68. </w:t>
      </w:r>
      <w:hyperlink r:id="rId9" w:history="1">
        <w:r w:rsidR="003E28EB" w:rsidRPr="00356CA3">
          <w:rPr>
            <w:rStyle w:val="Hyperlink"/>
            <w:rFonts w:ascii="Arial" w:hAnsi="Arial" w:cs="Arial"/>
            <w:noProof/>
            <w:sz w:val="24"/>
            <w:szCs w:val="24"/>
          </w:rPr>
          <w:t>http://bibliotecavirtu</w:t>
        </w:r>
        <w:r w:rsidR="003E28EB" w:rsidRPr="00356CA3">
          <w:rPr>
            <w:rStyle w:val="Hyperlink"/>
            <w:rFonts w:ascii="Arial" w:hAnsi="Arial" w:cs="Arial"/>
            <w:noProof/>
            <w:sz w:val="24"/>
            <w:szCs w:val="24"/>
          </w:rPr>
          <w:t>a</w:t>
        </w:r>
        <w:r w:rsidR="003E28EB" w:rsidRPr="00356CA3">
          <w:rPr>
            <w:rStyle w:val="Hyperlink"/>
            <w:rFonts w:ascii="Arial" w:hAnsi="Arial" w:cs="Arial"/>
            <w:noProof/>
            <w:sz w:val="24"/>
            <w:szCs w:val="24"/>
          </w:rPr>
          <w:t>l.unl.edu.ar/publicaciones/index.php/AulaUniversitaria/article/view/4368/6643</w:t>
        </w:r>
      </w:hyperlink>
      <w:r w:rsidR="003E28EB">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Colombo, L. (2017). Los grupos de escritura y el aprendizaje situado en el posgrado. </w:t>
      </w:r>
      <w:r w:rsidRPr="00417EEB">
        <w:rPr>
          <w:rFonts w:ascii="Arial" w:hAnsi="Arial" w:cs="Arial"/>
          <w:i/>
          <w:noProof/>
          <w:sz w:val="24"/>
          <w:szCs w:val="24"/>
        </w:rPr>
        <w:t>Jornaleros, Revista Científica de Estudios Literarios y Lingüísticos, 3</w:t>
      </w:r>
      <w:r w:rsidRPr="00417EEB">
        <w:rPr>
          <w:rFonts w:ascii="Arial" w:hAnsi="Arial" w:cs="Arial"/>
          <w:noProof/>
          <w:sz w:val="24"/>
          <w:szCs w:val="24"/>
        </w:rPr>
        <w:t xml:space="preserve">(3), 154-164. </w:t>
      </w:r>
      <w:hyperlink r:id="rId10" w:history="1">
        <w:r w:rsidR="003E28EB" w:rsidRPr="00356CA3">
          <w:rPr>
            <w:rStyle w:val="Hyperlink"/>
            <w:rFonts w:ascii="Arial" w:hAnsi="Arial" w:cs="Arial"/>
            <w:noProof/>
            <w:sz w:val="24"/>
            <w:szCs w:val="24"/>
          </w:rPr>
          <w:t>https://ri.conicet.gov.ar/handle/11336/75731</w:t>
        </w:r>
      </w:hyperlink>
      <w:r w:rsidR="003E28EB">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lastRenderedPageBreak/>
        <w:t xml:space="preserve">Colombo, L., &amp; Álvarez, G. (2021). Iniciativas didácticas basadas en la revisión entre pares y orientadas a la enseñanza-aprendizaje de la escritura de la tesis a nivel de posgrado. </w:t>
      </w:r>
      <w:r w:rsidRPr="00417EEB">
        <w:rPr>
          <w:rFonts w:ascii="Arial" w:hAnsi="Arial" w:cs="Arial"/>
          <w:i/>
          <w:noProof/>
          <w:sz w:val="24"/>
          <w:szCs w:val="24"/>
        </w:rPr>
        <w:t>Educación y Humanismo, 23</w:t>
      </w:r>
      <w:r w:rsidRPr="00417EEB">
        <w:rPr>
          <w:rFonts w:ascii="Arial" w:hAnsi="Arial" w:cs="Arial"/>
          <w:noProof/>
          <w:sz w:val="24"/>
          <w:szCs w:val="24"/>
        </w:rPr>
        <w:t xml:space="preserve">(40), 1-18. </w:t>
      </w:r>
      <w:hyperlink r:id="rId11" w:history="1">
        <w:r w:rsidR="003E28EB" w:rsidRPr="00356CA3">
          <w:rPr>
            <w:rStyle w:val="Hyperlink"/>
            <w:rFonts w:ascii="Arial" w:hAnsi="Arial" w:cs="Arial"/>
            <w:noProof/>
            <w:sz w:val="24"/>
            <w:szCs w:val="24"/>
          </w:rPr>
          <w:t>https://doi.org/10.17081/eduhum.17023.17040.13995</w:t>
        </w:r>
      </w:hyperlink>
      <w:r w:rsidR="003E28EB">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Colombo, L., Bruno, D., &amp; Silva, V. (2020). Grupos de escritura, vínculos y afectividad en el nivel de posgrado </w:t>
      </w:r>
      <w:r w:rsidRPr="00417EEB">
        <w:rPr>
          <w:rFonts w:ascii="Arial" w:hAnsi="Arial" w:cs="Arial"/>
          <w:i/>
          <w:noProof/>
          <w:sz w:val="24"/>
          <w:szCs w:val="24"/>
        </w:rPr>
        <w:t>Praxis educativa, 24</w:t>
      </w:r>
      <w:r w:rsidRPr="00417EEB">
        <w:rPr>
          <w:rFonts w:ascii="Arial" w:hAnsi="Arial" w:cs="Arial"/>
          <w:noProof/>
          <w:sz w:val="24"/>
          <w:szCs w:val="24"/>
        </w:rPr>
        <w:t xml:space="preserve">(3), 1-13. </w:t>
      </w:r>
      <w:hyperlink r:id="rId12" w:history="1">
        <w:r w:rsidR="003E28EB" w:rsidRPr="00356CA3">
          <w:rPr>
            <w:rStyle w:val="Hyperlink"/>
            <w:rFonts w:ascii="Arial" w:hAnsi="Arial" w:cs="Arial"/>
            <w:noProof/>
            <w:sz w:val="24"/>
            <w:szCs w:val="24"/>
          </w:rPr>
          <w:t>https://cerac.unlpam.edu.ar/index.php/praxis/article/view/4927</w:t>
        </w:r>
      </w:hyperlink>
      <w:r w:rsidR="003E28EB">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Colombo, L., Iglesias, A., Kiler, M., &amp; Saez, V. (2022). Grupos de escritura en el postgrado: Experiencias de tesistas. </w:t>
      </w:r>
      <w:r w:rsidRPr="00417EEB">
        <w:rPr>
          <w:rFonts w:ascii="Arial" w:hAnsi="Arial" w:cs="Arial"/>
          <w:i/>
          <w:noProof/>
          <w:sz w:val="24"/>
          <w:szCs w:val="24"/>
        </w:rPr>
        <w:t>Espacios en Blanco. Revista de Educación (Serie Indagaciones), 1</w:t>
      </w:r>
      <w:r w:rsidRPr="00417EEB">
        <w:rPr>
          <w:rFonts w:ascii="Arial" w:hAnsi="Arial" w:cs="Arial"/>
          <w:noProof/>
          <w:sz w:val="24"/>
          <w:szCs w:val="24"/>
        </w:rPr>
        <w:t xml:space="preserve">(32), 163-172. </w:t>
      </w:r>
      <w:hyperlink r:id="rId13" w:history="1">
        <w:r w:rsidR="003E28EB" w:rsidRPr="00356CA3">
          <w:rPr>
            <w:rStyle w:val="Hyperlink"/>
            <w:rFonts w:ascii="Arial" w:hAnsi="Arial" w:cs="Arial"/>
            <w:noProof/>
            <w:sz w:val="24"/>
            <w:szCs w:val="24"/>
          </w:rPr>
          <w:t>https://ojs162.fch.unicen.edu.ar/ojs-163.161.160/index.php/espacios-en-blanco/article/view/870</w:t>
        </w:r>
      </w:hyperlink>
      <w:r w:rsidR="003E28EB">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Colombo, L., &amp; Morán, L. (2023). Diálogos acerca del surgimiento, transformación y proyección de los grupos de escritura. </w:t>
      </w:r>
      <w:r w:rsidR="003E28EB">
        <w:rPr>
          <w:rFonts w:ascii="Arial" w:hAnsi="Arial" w:cs="Arial"/>
          <w:noProof/>
          <w:sz w:val="24"/>
          <w:szCs w:val="24"/>
        </w:rPr>
        <w:t>E</w:t>
      </w:r>
      <w:r w:rsidRPr="00417EEB">
        <w:rPr>
          <w:rFonts w:ascii="Arial" w:hAnsi="Arial" w:cs="Arial"/>
          <w:noProof/>
          <w:sz w:val="24"/>
          <w:szCs w:val="24"/>
        </w:rPr>
        <w:t>n G. Alvarez, L. Colombo, H. Difabio de Anglat, L. Morán, M. I. Pozzo</w:t>
      </w:r>
      <w:r w:rsidR="003E28EB">
        <w:rPr>
          <w:rFonts w:ascii="Arial" w:hAnsi="Arial" w:cs="Arial"/>
          <w:noProof/>
          <w:sz w:val="24"/>
          <w:szCs w:val="24"/>
        </w:rPr>
        <w:t>, M. B. Taboada &amp; (Coord.)</w:t>
      </w:r>
      <w:r w:rsidRPr="00417EEB">
        <w:rPr>
          <w:rFonts w:ascii="Arial" w:hAnsi="Arial" w:cs="Arial"/>
          <w:noProof/>
          <w:sz w:val="24"/>
          <w:szCs w:val="24"/>
        </w:rPr>
        <w:t xml:space="preserve">, </w:t>
      </w:r>
      <w:r w:rsidRPr="00417EEB">
        <w:rPr>
          <w:rFonts w:ascii="Arial" w:hAnsi="Arial" w:cs="Arial"/>
          <w:i/>
          <w:noProof/>
          <w:sz w:val="24"/>
          <w:szCs w:val="24"/>
        </w:rPr>
        <w:t>Enseñanza de la escritura de la tesis de posgrado en entornos presenciales y virtuales</w:t>
      </w:r>
      <w:r w:rsidRPr="00417EEB">
        <w:rPr>
          <w:rFonts w:ascii="Arial" w:hAnsi="Arial" w:cs="Arial"/>
          <w:noProof/>
          <w:sz w:val="24"/>
          <w:szCs w:val="24"/>
        </w:rPr>
        <w:t xml:space="preserve"> (pp. 159-187). Ediciones de la Universidad Nacional de General Sarmiento. </w:t>
      </w:r>
      <w:hyperlink r:id="rId14" w:history="1">
        <w:r w:rsidR="003E28EB" w:rsidRPr="00356CA3">
          <w:rPr>
            <w:rStyle w:val="Hyperlink"/>
            <w:rFonts w:ascii="Arial" w:hAnsi="Arial" w:cs="Arial"/>
            <w:noProof/>
            <w:sz w:val="24"/>
            <w:szCs w:val="24"/>
          </w:rPr>
          <w:t>https://www.ungs.edu.ar/libro/ensenanza-de-la-escritura-de-la-tesis-de-posgrado-en-entornos-presenciales-y-virtuales</w:t>
        </w:r>
      </w:hyperlink>
      <w:r w:rsidR="003E28EB">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Colombo, L., &amp; Morán, L. (2025). Dispositivos pedagógicos para avanzar la producción escr</w:t>
      </w:r>
      <w:r w:rsidR="003E28EB">
        <w:rPr>
          <w:rFonts w:ascii="Arial" w:hAnsi="Arial" w:cs="Arial"/>
          <w:noProof/>
          <w:sz w:val="24"/>
          <w:szCs w:val="24"/>
        </w:rPr>
        <w:t>ituraria: Grupos de escritura. E</w:t>
      </w:r>
      <w:r w:rsidRPr="00417EEB">
        <w:rPr>
          <w:rFonts w:ascii="Arial" w:hAnsi="Arial" w:cs="Arial"/>
          <w:noProof/>
          <w:sz w:val="24"/>
          <w:szCs w:val="24"/>
        </w:rPr>
        <w:t xml:space="preserve">n L. Fernández Fastuca, H. Difabio de Anglat, M. Facciola &amp; P. D. Bunge (Eds.), </w:t>
      </w:r>
      <w:r w:rsidRPr="00417EEB">
        <w:rPr>
          <w:rFonts w:ascii="Arial" w:hAnsi="Arial" w:cs="Arial"/>
          <w:i/>
          <w:noProof/>
          <w:sz w:val="24"/>
          <w:szCs w:val="24"/>
        </w:rPr>
        <w:t>Actas I Jornadas Reflexiones sobre la Formación Doctoral</w:t>
      </w:r>
      <w:r w:rsidRPr="00417EEB">
        <w:rPr>
          <w:rFonts w:ascii="Arial" w:hAnsi="Arial" w:cs="Arial"/>
          <w:noProof/>
          <w:sz w:val="24"/>
          <w:szCs w:val="24"/>
        </w:rPr>
        <w:t xml:space="preserve"> (pp. 69-76). Universidad Católica Argentina.</w:t>
      </w:r>
    </w:p>
    <w:p w:rsidR="00456AB0" w:rsidRPr="00456AB0" w:rsidRDefault="00456AB0" w:rsidP="002E2515">
      <w:pPr>
        <w:spacing w:after="0" w:line="360" w:lineRule="auto"/>
        <w:ind w:left="720" w:hanging="720"/>
        <w:rPr>
          <w:rFonts w:ascii="Arial" w:hAnsi="Arial" w:cs="Arial"/>
          <w:noProof/>
          <w:sz w:val="24"/>
          <w:szCs w:val="24"/>
          <w:lang w:val="en-US"/>
        </w:rPr>
      </w:pPr>
      <w:r w:rsidRPr="00417EEB">
        <w:rPr>
          <w:rFonts w:ascii="Arial" w:hAnsi="Arial" w:cs="Arial"/>
          <w:noProof/>
          <w:sz w:val="24"/>
          <w:szCs w:val="24"/>
        </w:rPr>
        <w:t xml:space="preserve">Colombo, L., &amp; Rodas, E. (2021). </w:t>
      </w:r>
      <w:r w:rsidRPr="00456AB0">
        <w:rPr>
          <w:rFonts w:ascii="Arial" w:hAnsi="Arial" w:cs="Arial"/>
          <w:noProof/>
          <w:sz w:val="24"/>
          <w:szCs w:val="24"/>
          <w:lang w:val="en-US"/>
        </w:rPr>
        <w:t xml:space="preserve">Interdisciplinarity as an opportunity in Argentinian and Ecuadorian writing groups. </w:t>
      </w:r>
      <w:r w:rsidRPr="00456AB0">
        <w:rPr>
          <w:rFonts w:ascii="Arial" w:hAnsi="Arial" w:cs="Arial"/>
          <w:i/>
          <w:noProof/>
          <w:sz w:val="24"/>
          <w:szCs w:val="24"/>
          <w:lang w:val="en-US"/>
        </w:rPr>
        <w:t>Higher Education Research &amp; Development, 40</w:t>
      </w:r>
      <w:r w:rsidRPr="00456AB0">
        <w:rPr>
          <w:rFonts w:ascii="Arial" w:hAnsi="Arial" w:cs="Arial"/>
          <w:noProof/>
          <w:sz w:val="24"/>
          <w:szCs w:val="24"/>
          <w:lang w:val="en-US"/>
        </w:rPr>
        <w:t xml:space="preserve">(2), 1-13. </w:t>
      </w:r>
      <w:hyperlink r:id="rId15" w:history="1">
        <w:r w:rsidR="00080DE1" w:rsidRPr="00356CA3">
          <w:rPr>
            <w:rStyle w:val="Hyperlink"/>
            <w:rFonts w:ascii="Arial" w:hAnsi="Arial" w:cs="Arial"/>
            <w:noProof/>
            <w:sz w:val="24"/>
            <w:szCs w:val="24"/>
            <w:lang w:val="en-US"/>
          </w:rPr>
          <w:t>https://doi.org/10.1080/07294360.07292020.01756750</w:t>
        </w:r>
      </w:hyperlink>
      <w:r w:rsidR="00080DE1">
        <w:rPr>
          <w:rFonts w:ascii="Arial" w:hAnsi="Arial" w:cs="Arial"/>
          <w:noProof/>
          <w:sz w:val="24"/>
          <w:szCs w:val="24"/>
          <w:lang w:val="en-US"/>
        </w:rPr>
        <w:t xml:space="preserve"> </w:t>
      </w:r>
    </w:p>
    <w:p w:rsidR="00456AB0" w:rsidRPr="00456AB0" w:rsidRDefault="00456AB0" w:rsidP="002E2515">
      <w:pPr>
        <w:spacing w:after="0" w:line="360" w:lineRule="auto"/>
        <w:ind w:left="720" w:hanging="720"/>
        <w:rPr>
          <w:rFonts w:ascii="Arial" w:hAnsi="Arial" w:cs="Arial"/>
          <w:noProof/>
          <w:sz w:val="24"/>
          <w:szCs w:val="24"/>
          <w:lang w:val="en-US"/>
        </w:rPr>
      </w:pPr>
      <w:r w:rsidRPr="00456AB0">
        <w:rPr>
          <w:rFonts w:ascii="Arial" w:hAnsi="Arial" w:cs="Arial"/>
          <w:noProof/>
          <w:sz w:val="24"/>
          <w:szCs w:val="24"/>
          <w:lang w:val="en-US"/>
        </w:rPr>
        <w:t xml:space="preserve">Colombo, L., &amp; Rodas, E. (2023). Doctoral writing groups for the advancement of dissertation and publication writing. </w:t>
      </w:r>
      <w:r w:rsidRPr="00456AB0">
        <w:rPr>
          <w:rFonts w:ascii="Arial" w:hAnsi="Arial" w:cs="Arial"/>
          <w:i/>
          <w:noProof/>
          <w:sz w:val="24"/>
          <w:szCs w:val="24"/>
          <w:lang w:val="en-US"/>
        </w:rPr>
        <w:t>Journal of Academic Writing, 13</w:t>
      </w:r>
      <w:r w:rsidRPr="00456AB0">
        <w:rPr>
          <w:rFonts w:ascii="Arial" w:hAnsi="Arial" w:cs="Arial"/>
          <w:noProof/>
          <w:sz w:val="24"/>
          <w:szCs w:val="24"/>
          <w:lang w:val="en-US"/>
        </w:rPr>
        <w:t xml:space="preserve">(2), 49-65. </w:t>
      </w:r>
      <w:hyperlink r:id="rId16" w:history="1">
        <w:r w:rsidR="00080DE1" w:rsidRPr="00356CA3">
          <w:rPr>
            <w:rStyle w:val="Hyperlink"/>
            <w:rFonts w:ascii="Arial" w:hAnsi="Arial" w:cs="Arial"/>
            <w:noProof/>
            <w:sz w:val="24"/>
            <w:szCs w:val="24"/>
            <w:lang w:val="en-US"/>
          </w:rPr>
          <w:t>https://doi.org/10.18552/joaw.v18513i18552.18788</w:t>
        </w:r>
      </w:hyperlink>
      <w:r w:rsidR="00080DE1">
        <w:rPr>
          <w:rFonts w:ascii="Arial" w:hAnsi="Arial" w:cs="Arial"/>
          <w:noProof/>
          <w:sz w:val="24"/>
          <w:szCs w:val="24"/>
          <w:lang w:val="en-US"/>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56AB0">
        <w:rPr>
          <w:rFonts w:ascii="Arial" w:hAnsi="Arial" w:cs="Arial"/>
          <w:noProof/>
          <w:sz w:val="24"/>
          <w:szCs w:val="24"/>
          <w:lang w:val="en-US"/>
        </w:rPr>
        <w:lastRenderedPageBreak/>
        <w:t xml:space="preserve">Espeche, M. P. (2024). </w:t>
      </w:r>
      <w:r w:rsidRPr="00417EEB">
        <w:rPr>
          <w:rFonts w:ascii="Arial" w:hAnsi="Arial" w:cs="Arial"/>
          <w:noProof/>
          <w:sz w:val="24"/>
          <w:szCs w:val="24"/>
        </w:rPr>
        <w:t>"Un, dos, ¡tesis!". Acompañamiento virtual de procesos de es</w:t>
      </w:r>
      <w:r w:rsidR="00080DE1">
        <w:rPr>
          <w:rFonts w:ascii="Arial" w:hAnsi="Arial" w:cs="Arial"/>
          <w:noProof/>
          <w:sz w:val="24"/>
          <w:szCs w:val="24"/>
        </w:rPr>
        <w:t>critura académica de posgrado. E</w:t>
      </w:r>
      <w:r w:rsidRPr="00417EEB">
        <w:rPr>
          <w:rFonts w:ascii="Arial" w:hAnsi="Arial" w:cs="Arial"/>
          <w:noProof/>
          <w:sz w:val="24"/>
          <w:szCs w:val="24"/>
        </w:rPr>
        <w:t xml:space="preserve">n G. Borioli &amp; M. Villa (Eds.), </w:t>
      </w:r>
      <w:r w:rsidRPr="00417EEB">
        <w:rPr>
          <w:rFonts w:ascii="Arial" w:hAnsi="Arial" w:cs="Arial"/>
          <w:i/>
          <w:noProof/>
          <w:sz w:val="24"/>
          <w:szCs w:val="24"/>
        </w:rPr>
        <w:t>Alfabetización disciplinar y formación docente. Conversaciones sobre prácticas discursivas</w:t>
      </w:r>
      <w:r w:rsidRPr="00417EEB">
        <w:rPr>
          <w:rFonts w:ascii="Arial" w:hAnsi="Arial" w:cs="Arial"/>
          <w:noProof/>
          <w:sz w:val="24"/>
          <w:szCs w:val="24"/>
        </w:rPr>
        <w:t xml:space="preserve"> (pp. 167-188): Universidad Nacional de Córdoba. Facultad de Filosofía y Humanidades.</w:t>
      </w:r>
      <w:r w:rsidR="00080DE1">
        <w:rPr>
          <w:rFonts w:ascii="Arial" w:hAnsi="Arial" w:cs="Arial"/>
          <w:noProof/>
          <w:sz w:val="24"/>
          <w:szCs w:val="24"/>
        </w:rPr>
        <w:t xml:space="preserve"> </w:t>
      </w:r>
      <w:hyperlink r:id="rId17" w:history="1">
        <w:r w:rsidR="00080DE1" w:rsidRPr="00356CA3">
          <w:rPr>
            <w:rStyle w:val="Hyperlink"/>
            <w:rFonts w:ascii="Arial" w:hAnsi="Arial" w:cs="Arial"/>
            <w:noProof/>
            <w:sz w:val="24"/>
            <w:szCs w:val="24"/>
          </w:rPr>
          <w:t>https://ffyh.unc.edu.ar/publicaciones/tienda/publicaciones-de-investigacion/ciffyh/colecciones-del-ciffyh/alfabetizacion-disciplinar-y-formacion-docente-conversaciones-sobre-practicas-discursivas/</w:t>
        </w:r>
      </w:hyperlink>
      <w:r w:rsidR="00080DE1">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Espeche, M. P., Abad, J. V., &amp; Colombo, L. (2025). Tesis de posgrado en comunidad: duoetnografía sobre un grupo de escritura virtual concurrente. </w:t>
      </w:r>
      <w:r w:rsidRPr="00417EEB">
        <w:rPr>
          <w:rFonts w:ascii="Arial" w:hAnsi="Arial" w:cs="Arial"/>
          <w:i/>
          <w:noProof/>
          <w:sz w:val="24"/>
          <w:szCs w:val="24"/>
        </w:rPr>
        <w:t>Lenguaje, 53</w:t>
      </w:r>
      <w:r w:rsidRPr="00417EEB">
        <w:rPr>
          <w:rFonts w:ascii="Arial" w:hAnsi="Arial" w:cs="Arial"/>
          <w:noProof/>
          <w:sz w:val="24"/>
          <w:szCs w:val="24"/>
        </w:rPr>
        <w:t xml:space="preserve">(1), 1-20. </w:t>
      </w:r>
      <w:hyperlink r:id="rId18" w:history="1">
        <w:r w:rsidR="00080DE1" w:rsidRPr="00356CA3">
          <w:rPr>
            <w:rStyle w:val="Hyperlink"/>
            <w:rFonts w:ascii="Arial" w:hAnsi="Arial" w:cs="Arial"/>
            <w:noProof/>
            <w:sz w:val="24"/>
            <w:szCs w:val="24"/>
          </w:rPr>
          <w:t>https://doi.org/10.25100/lenguaje.v25153i25101.14612</w:t>
        </w:r>
      </w:hyperlink>
      <w:r w:rsidR="00080DE1">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Espeche, M. P., &amp; Colombo, L. (2024). Grupos de escritura virtual doctoral: una propuesta dialógica para el aprendizaje de las prácticas letradas. </w:t>
      </w:r>
      <w:r w:rsidRPr="00417EEB">
        <w:rPr>
          <w:rFonts w:ascii="Arial" w:hAnsi="Arial" w:cs="Arial"/>
          <w:i/>
          <w:noProof/>
          <w:sz w:val="24"/>
          <w:szCs w:val="24"/>
        </w:rPr>
        <w:t>Praxis Educativa, 28</w:t>
      </w:r>
      <w:r w:rsidRPr="00417EEB">
        <w:rPr>
          <w:rFonts w:ascii="Arial" w:hAnsi="Arial" w:cs="Arial"/>
          <w:noProof/>
          <w:sz w:val="24"/>
          <w:szCs w:val="24"/>
        </w:rPr>
        <w:t xml:space="preserve">(1), 1-13. </w:t>
      </w:r>
      <w:hyperlink r:id="rId19" w:history="1">
        <w:r w:rsidR="00080DE1" w:rsidRPr="00356CA3">
          <w:rPr>
            <w:rStyle w:val="Hyperlink"/>
            <w:rFonts w:ascii="Arial" w:hAnsi="Arial" w:cs="Arial"/>
            <w:noProof/>
            <w:sz w:val="24"/>
            <w:szCs w:val="24"/>
          </w:rPr>
          <w:t>https://doi.org/10.19137/praxiseducativa-12024-280117</w:t>
        </w:r>
      </w:hyperlink>
      <w:r w:rsidR="00080DE1">
        <w:rPr>
          <w:rFonts w:ascii="Arial" w:hAnsi="Arial" w:cs="Arial"/>
          <w:noProof/>
          <w:sz w:val="24"/>
          <w:szCs w:val="24"/>
        </w:rPr>
        <w:t xml:space="preserve"> </w:t>
      </w:r>
    </w:p>
    <w:p w:rsidR="00456AB0" w:rsidRPr="00080DE1" w:rsidRDefault="00456AB0" w:rsidP="002E2515">
      <w:pPr>
        <w:spacing w:after="0" w:line="360" w:lineRule="auto"/>
        <w:ind w:left="720" w:hanging="720"/>
        <w:rPr>
          <w:rFonts w:ascii="Arial" w:hAnsi="Arial" w:cs="Arial"/>
          <w:noProof/>
          <w:sz w:val="24"/>
          <w:szCs w:val="24"/>
          <w:lang w:val="en-US"/>
        </w:rPr>
      </w:pPr>
      <w:r w:rsidRPr="00417EEB">
        <w:rPr>
          <w:rFonts w:ascii="Arial" w:hAnsi="Arial" w:cs="Arial"/>
          <w:noProof/>
          <w:sz w:val="24"/>
          <w:szCs w:val="24"/>
        </w:rPr>
        <w:t xml:space="preserve">Espeche, M. P., Colombo, L., &amp; Rodas, E. (2024). Un grupo de escritura virtual doctoral: factores que influyen en su funcionamiento según los participantes. </w:t>
      </w:r>
      <w:r w:rsidRPr="00417EEB">
        <w:rPr>
          <w:rFonts w:ascii="Arial" w:hAnsi="Arial" w:cs="Arial"/>
          <w:i/>
          <w:noProof/>
          <w:sz w:val="24"/>
          <w:szCs w:val="24"/>
        </w:rPr>
        <w:t>Zona Próxima, 40</w:t>
      </w:r>
      <w:r w:rsidRPr="00417EEB">
        <w:rPr>
          <w:rFonts w:ascii="Arial" w:hAnsi="Arial" w:cs="Arial"/>
          <w:noProof/>
          <w:sz w:val="24"/>
          <w:szCs w:val="24"/>
        </w:rPr>
        <w:t xml:space="preserve">, 43-65. </w:t>
      </w:r>
      <w:hyperlink r:id="rId20" w:history="1">
        <w:r w:rsidR="00080DE1" w:rsidRPr="00080DE1">
          <w:rPr>
            <w:rStyle w:val="Hyperlink"/>
            <w:rFonts w:ascii="Arial" w:hAnsi="Arial" w:cs="Arial"/>
            <w:noProof/>
            <w:sz w:val="24"/>
            <w:szCs w:val="24"/>
            <w:lang w:val="en-US"/>
          </w:rPr>
          <w:t>https://doi.org/10.14482/zp.14440.14211.14968</w:t>
        </w:r>
      </w:hyperlink>
      <w:r w:rsidR="00080DE1" w:rsidRPr="00080DE1">
        <w:rPr>
          <w:rFonts w:ascii="Arial" w:hAnsi="Arial" w:cs="Arial"/>
          <w:noProof/>
          <w:sz w:val="24"/>
          <w:szCs w:val="24"/>
          <w:lang w:val="en-US"/>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080DE1">
        <w:rPr>
          <w:rFonts w:ascii="Arial" w:hAnsi="Arial" w:cs="Arial"/>
          <w:noProof/>
          <w:sz w:val="24"/>
          <w:szCs w:val="24"/>
          <w:lang w:val="en-US"/>
        </w:rPr>
        <w:t xml:space="preserve">Narváez-Cardona, E., &amp; Chois-Lenis, P. M. (2025). </w:t>
      </w:r>
      <w:r w:rsidRPr="00417EEB">
        <w:rPr>
          <w:rFonts w:ascii="Arial" w:hAnsi="Arial" w:cs="Arial"/>
          <w:noProof/>
          <w:sz w:val="24"/>
          <w:szCs w:val="24"/>
        </w:rPr>
        <w:t xml:space="preserve">Principios para la formación de escritores en posgrado. </w:t>
      </w:r>
      <w:r w:rsidRPr="00417EEB">
        <w:rPr>
          <w:rFonts w:ascii="Arial" w:hAnsi="Arial" w:cs="Arial"/>
          <w:i/>
          <w:noProof/>
          <w:sz w:val="24"/>
          <w:szCs w:val="24"/>
        </w:rPr>
        <w:t>Pedagogía Y Saberes, 62</w:t>
      </w:r>
      <w:r w:rsidRPr="00417EEB">
        <w:rPr>
          <w:rFonts w:ascii="Arial" w:hAnsi="Arial" w:cs="Arial"/>
          <w:noProof/>
          <w:sz w:val="24"/>
          <w:szCs w:val="24"/>
        </w:rPr>
        <w:t xml:space="preserve">, 21-42. </w:t>
      </w:r>
      <w:hyperlink r:id="rId21" w:history="1">
        <w:r w:rsidR="00080DE1" w:rsidRPr="00356CA3">
          <w:rPr>
            <w:rStyle w:val="Hyperlink"/>
            <w:rFonts w:ascii="Arial" w:hAnsi="Arial" w:cs="Arial"/>
            <w:noProof/>
            <w:sz w:val="24"/>
            <w:szCs w:val="24"/>
          </w:rPr>
          <w:t>https://doi.org/10.17227/pys.num17262-20239</w:t>
        </w:r>
      </w:hyperlink>
      <w:r w:rsidR="00080DE1">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Rodas, E., &amp; Colombo, L. (2018). </w:t>
      </w:r>
      <w:r w:rsidRPr="00456AB0">
        <w:rPr>
          <w:rFonts w:ascii="Arial" w:hAnsi="Arial" w:cs="Arial"/>
          <w:noProof/>
          <w:sz w:val="24"/>
          <w:szCs w:val="24"/>
          <w:lang w:val="en-US"/>
        </w:rPr>
        <w:t xml:space="preserve">Writing groups in Ecuador as support for academics on the road to publication. </w:t>
      </w:r>
      <w:r w:rsidRPr="00417EEB">
        <w:rPr>
          <w:rFonts w:ascii="Arial" w:hAnsi="Arial" w:cs="Arial"/>
          <w:i/>
          <w:noProof/>
          <w:sz w:val="24"/>
          <w:szCs w:val="24"/>
        </w:rPr>
        <w:t>Revista Pucará, 29</w:t>
      </w:r>
      <w:r w:rsidRPr="00417EEB">
        <w:rPr>
          <w:rFonts w:ascii="Arial" w:hAnsi="Arial" w:cs="Arial"/>
          <w:noProof/>
          <w:sz w:val="24"/>
          <w:szCs w:val="24"/>
        </w:rPr>
        <w:t xml:space="preserve">, 147-167. </w:t>
      </w:r>
      <w:hyperlink r:id="rId22" w:history="1">
        <w:r w:rsidR="00080DE1" w:rsidRPr="00356CA3">
          <w:rPr>
            <w:rStyle w:val="Hyperlink"/>
            <w:rFonts w:ascii="Arial" w:hAnsi="Arial" w:cs="Arial"/>
            <w:noProof/>
            <w:sz w:val="24"/>
            <w:szCs w:val="24"/>
          </w:rPr>
          <w:t>https://publicaciones.ucuenca.edu.ec/ojs/index.php/pu</w:t>
        </w:r>
        <w:r w:rsidR="00080DE1" w:rsidRPr="00356CA3">
          <w:rPr>
            <w:rStyle w:val="Hyperlink"/>
            <w:rFonts w:ascii="Arial" w:hAnsi="Arial" w:cs="Arial"/>
            <w:noProof/>
            <w:sz w:val="24"/>
            <w:szCs w:val="24"/>
          </w:rPr>
          <w:t>c</w:t>
        </w:r>
        <w:r w:rsidR="00080DE1" w:rsidRPr="00356CA3">
          <w:rPr>
            <w:rStyle w:val="Hyperlink"/>
            <w:rFonts w:ascii="Arial" w:hAnsi="Arial" w:cs="Arial"/>
            <w:noProof/>
            <w:sz w:val="24"/>
            <w:szCs w:val="24"/>
          </w:rPr>
          <w:t>ara/issue/view/199/PDF129</w:t>
        </w:r>
      </w:hyperlink>
      <w:r w:rsidR="00080DE1">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t xml:space="preserve">Rodas, E., &amp; Colombo, L. (2024). Juntos escribimos: Espacios para escribir ciencia sin interrupciones. </w:t>
      </w:r>
      <w:r w:rsidRPr="00417EEB">
        <w:rPr>
          <w:rFonts w:ascii="Arial" w:hAnsi="Arial" w:cs="Arial"/>
          <w:i/>
          <w:noProof/>
          <w:sz w:val="24"/>
          <w:szCs w:val="24"/>
        </w:rPr>
        <w:t>Revista de Educación 33</w:t>
      </w:r>
      <w:r w:rsidRPr="00417EEB">
        <w:rPr>
          <w:rFonts w:ascii="Arial" w:hAnsi="Arial" w:cs="Arial"/>
          <w:noProof/>
          <w:sz w:val="24"/>
          <w:szCs w:val="24"/>
        </w:rPr>
        <w:t xml:space="preserve">, 141-154. </w:t>
      </w:r>
      <w:hyperlink r:id="rId23" w:history="1">
        <w:r w:rsidR="00080DE1" w:rsidRPr="00356CA3">
          <w:rPr>
            <w:rStyle w:val="Hyperlink"/>
            <w:rFonts w:ascii="Arial" w:hAnsi="Arial" w:cs="Arial"/>
            <w:noProof/>
            <w:sz w:val="24"/>
            <w:szCs w:val="24"/>
          </w:rPr>
          <w:t>https://fh.mdp.edu.ar/revistas/index.php/r_educ/</w:t>
        </w:r>
        <w:r w:rsidR="00080DE1" w:rsidRPr="00356CA3">
          <w:rPr>
            <w:rStyle w:val="Hyperlink"/>
            <w:rFonts w:ascii="Arial" w:hAnsi="Arial" w:cs="Arial"/>
            <w:noProof/>
            <w:sz w:val="24"/>
            <w:szCs w:val="24"/>
          </w:rPr>
          <w:t>a</w:t>
        </w:r>
        <w:r w:rsidR="00080DE1" w:rsidRPr="00356CA3">
          <w:rPr>
            <w:rStyle w:val="Hyperlink"/>
            <w:rFonts w:ascii="Arial" w:hAnsi="Arial" w:cs="Arial"/>
            <w:noProof/>
            <w:sz w:val="24"/>
            <w:szCs w:val="24"/>
          </w:rPr>
          <w:t>rticle/view/8268/8532</w:t>
        </w:r>
      </w:hyperlink>
      <w:r w:rsidR="00080DE1">
        <w:rPr>
          <w:rFonts w:ascii="Arial" w:hAnsi="Arial" w:cs="Arial"/>
          <w:noProof/>
          <w:sz w:val="24"/>
          <w:szCs w:val="24"/>
        </w:rPr>
        <w:t xml:space="preserve"> </w:t>
      </w:r>
    </w:p>
    <w:p w:rsidR="00456AB0" w:rsidRPr="00417EEB" w:rsidRDefault="00456AB0" w:rsidP="002E2515">
      <w:pPr>
        <w:spacing w:after="0" w:line="360" w:lineRule="auto"/>
        <w:ind w:left="720" w:hanging="720"/>
        <w:rPr>
          <w:rFonts w:ascii="Arial" w:hAnsi="Arial" w:cs="Arial"/>
          <w:noProof/>
          <w:sz w:val="24"/>
          <w:szCs w:val="24"/>
        </w:rPr>
      </w:pPr>
      <w:r w:rsidRPr="00417EEB">
        <w:rPr>
          <w:rFonts w:ascii="Arial" w:hAnsi="Arial" w:cs="Arial"/>
          <w:noProof/>
          <w:sz w:val="24"/>
          <w:szCs w:val="24"/>
        </w:rPr>
        <w:lastRenderedPageBreak/>
        <w:t xml:space="preserve">Rodas, E. L., Colombo, L., Calle, M. D., &amp; Cordero, G. (2021). Escribir para publicar: Una experiencia con grupos de escritura de investigadores universitarios. </w:t>
      </w:r>
      <w:r w:rsidRPr="00417EEB">
        <w:rPr>
          <w:rFonts w:ascii="Arial" w:hAnsi="Arial" w:cs="Arial"/>
          <w:i/>
          <w:noProof/>
          <w:sz w:val="24"/>
          <w:szCs w:val="24"/>
        </w:rPr>
        <w:t>Maskana, 12</w:t>
      </w:r>
      <w:r w:rsidRPr="00417EEB">
        <w:rPr>
          <w:rFonts w:ascii="Arial" w:hAnsi="Arial" w:cs="Arial"/>
          <w:noProof/>
          <w:sz w:val="24"/>
          <w:szCs w:val="24"/>
        </w:rPr>
        <w:t xml:space="preserve">(1), 5-15. </w:t>
      </w:r>
      <w:hyperlink r:id="rId24" w:history="1">
        <w:r w:rsidR="003E28EB" w:rsidRPr="00356CA3">
          <w:rPr>
            <w:rStyle w:val="Hyperlink"/>
            <w:rFonts w:ascii="Arial" w:hAnsi="Arial" w:cs="Arial"/>
            <w:noProof/>
            <w:sz w:val="24"/>
            <w:szCs w:val="24"/>
          </w:rPr>
          <w:t>https://doi.org/10.18537/mskn.18512.18501.18501</w:t>
        </w:r>
      </w:hyperlink>
      <w:r w:rsidR="003E28EB">
        <w:rPr>
          <w:rFonts w:ascii="Arial" w:hAnsi="Arial" w:cs="Arial"/>
          <w:noProof/>
          <w:sz w:val="24"/>
          <w:szCs w:val="24"/>
        </w:rPr>
        <w:t xml:space="preserve"> </w:t>
      </w:r>
      <w:r w:rsidRPr="00417EEB">
        <w:rPr>
          <w:rFonts w:ascii="Arial" w:hAnsi="Arial" w:cs="Arial"/>
          <w:noProof/>
          <w:sz w:val="24"/>
          <w:szCs w:val="24"/>
        </w:rPr>
        <w:t xml:space="preserve"> </w:t>
      </w:r>
    </w:p>
    <w:sectPr w:rsidR="00456AB0" w:rsidRPr="00417EEB" w:rsidSect="00456AB0">
      <w:headerReference w:type="default" r:id="rId25"/>
      <w:footerReference w:type="default" r:id="rId26"/>
      <w:pgSz w:w="12240" w:h="15840"/>
      <w:pgMar w:top="2659" w:right="1417" w:bottom="1417" w:left="1417"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8E0" w:rsidRDefault="009278E0" w:rsidP="008B3DF1">
      <w:pPr>
        <w:spacing w:after="0" w:line="240" w:lineRule="auto"/>
      </w:pPr>
      <w:r>
        <w:separator/>
      </w:r>
    </w:p>
  </w:endnote>
  <w:endnote w:type="continuationSeparator" w:id="0">
    <w:p w:rsidR="009278E0" w:rsidRDefault="009278E0" w:rsidP="008B3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embedRegular r:id="rId1" w:fontKey="{5D882952-96E5-44F1-B7D7-F4C9AAC75724}"/>
    <w:embedBold r:id="rId2" w:fontKey="{BC11745F-C516-4F14-A5F5-00869B9D3971}"/>
    <w:embedItalic r:id="rId3" w:fontKey="{FA706FA6-469E-4ABC-9B8E-B6CADECF6098}"/>
    <w:embedBoldItalic r:id="rId4" w:fontKey="{9CE91AC8-DAE6-4E2A-851D-654F7DB0EA28}"/>
  </w:font>
  <w:font w:name="Calibri">
    <w:panose1 w:val="020F0502020204030204"/>
    <w:charset w:val="00"/>
    <w:family w:val="swiss"/>
    <w:pitch w:val="variable"/>
    <w:sig w:usb0="E4002EFF" w:usb1="C200247B" w:usb2="00000009" w:usb3="00000000" w:csb0="000001FF" w:csb1="00000000"/>
    <w:embedRegular r:id="rId5" w:fontKey="{F206DD42-C901-43C5-89BF-79495E422BF9}"/>
    <w:embedBold r:id="rId6" w:fontKey="{8A0DAF3D-CB34-4A20-B097-08EC573605A9}"/>
    <w:embedItalic r:id="rId7" w:fontKey="{05A15E50-96B0-49FE-954C-E746C398702B}"/>
    <w:embedBoldItalic r:id="rId8" w:fontKey="{30E97516-9A30-41BB-813C-AF974D902211}"/>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F1" w:rsidRDefault="009B6668">
    <w:pPr>
      <w:pStyle w:val="normal0"/>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Instituto de la Educación y del Conocimiento</w:t>
    </w:r>
  </w:p>
  <w:p w:rsidR="008B3DF1" w:rsidRDefault="009B6668">
    <w:pPr>
      <w:pStyle w:val="normal0"/>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Universidad Nacional de Tierra del Fuego, Antártida e Islas del Atlántico Sur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8E0" w:rsidRDefault="009278E0" w:rsidP="008B3DF1">
      <w:pPr>
        <w:spacing w:after="0" w:line="240" w:lineRule="auto"/>
      </w:pPr>
      <w:r>
        <w:separator/>
      </w:r>
    </w:p>
  </w:footnote>
  <w:footnote w:type="continuationSeparator" w:id="0">
    <w:p w:rsidR="009278E0" w:rsidRDefault="009278E0" w:rsidP="008B3DF1">
      <w:pPr>
        <w:spacing w:after="0" w:line="240" w:lineRule="auto"/>
      </w:pPr>
      <w:r>
        <w:continuationSeparator/>
      </w:r>
    </w:p>
  </w:footnote>
  <w:footnote w:id="1">
    <w:p w:rsidR="008B3DF1" w:rsidRDefault="009B6668">
      <w:pPr>
        <w:pStyle w:val="normal0"/>
        <w:spacing w:after="0" w:line="240" w:lineRule="auto"/>
        <w:rPr>
          <w:rFonts w:ascii="Arial" w:eastAsia="Arial" w:hAnsi="Arial" w:cs="Arial"/>
          <w:sz w:val="20"/>
          <w:szCs w:val="20"/>
        </w:rPr>
      </w:pPr>
      <w:r>
        <w:rPr>
          <w:vertAlign w:val="superscript"/>
        </w:rPr>
        <w:footnoteRef/>
      </w:r>
      <w:r>
        <w:rPr>
          <w:rFonts w:ascii="Arial" w:eastAsia="Arial" w:hAnsi="Arial" w:cs="Arial"/>
          <w:sz w:val="20"/>
          <w:szCs w:val="20"/>
        </w:rPr>
        <w:t xml:space="preserve"> Filiación institucional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F1" w:rsidRDefault="009B6668">
    <w:pPr>
      <w:pStyle w:val="normal0"/>
      <w:pBdr>
        <w:top w:val="nil"/>
        <w:left w:val="nil"/>
        <w:bottom w:val="nil"/>
        <w:right w:val="nil"/>
        <w:between w:val="nil"/>
      </w:pBdr>
      <w:tabs>
        <w:tab w:val="center" w:pos="4680"/>
        <w:tab w:val="right" w:pos="9360"/>
      </w:tabs>
      <w:spacing w:after="0" w:line="240" w:lineRule="auto"/>
      <w:rPr>
        <w:color w:val="000000"/>
      </w:rPr>
    </w:pPr>
    <w:r>
      <w:rPr>
        <w:noProof/>
        <w:lang w:val="en-US"/>
      </w:rPr>
      <w:drawing>
        <wp:anchor distT="0" distB="0" distL="114300" distR="114300" simplePos="0" relativeHeight="251658240" behindDoc="0" locked="0" layoutInCell="1" allowOverlap="1">
          <wp:simplePos x="0" y="0"/>
          <wp:positionH relativeFrom="column">
            <wp:posOffset>909568</wp:posOffset>
          </wp:positionH>
          <wp:positionV relativeFrom="paragraph">
            <wp:posOffset>-125094</wp:posOffset>
          </wp:positionV>
          <wp:extent cx="4332605" cy="1246505"/>
          <wp:effectExtent l="0" t="0" r="0" b="0"/>
          <wp:wrapSquare wrapText="bothSides" distT="0" distB="0" distL="114300" distR="114300"/>
          <wp:docPr id="19756432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32605" cy="1246505"/>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B1E36"/>
    <w:multiLevelType w:val="multilevel"/>
    <w:tmpl w:val="499433C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TrueTypeFonts/>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ibraries" w:val="&lt;ENLibraries&gt;&lt;Libraries&gt;&lt;item&gt;230817 BIBLIO.enl&lt;/item&gt;&lt;/Libraries&gt;&lt;/ENLibraries&gt;"/>
  </w:docVars>
  <w:rsids>
    <w:rsidRoot w:val="008B3DF1"/>
    <w:rsid w:val="00080DE1"/>
    <w:rsid w:val="002E2515"/>
    <w:rsid w:val="00331B9A"/>
    <w:rsid w:val="003A23F6"/>
    <w:rsid w:val="003E28EB"/>
    <w:rsid w:val="00413A7C"/>
    <w:rsid w:val="00456AB0"/>
    <w:rsid w:val="0059424E"/>
    <w:rsid w:val="005E794D"/>
    <w:rsid w:val="00620C5D"/>
    <w:rsid w:val="00663F40"/>
    <w:rsid w:val="008B3DF1"/>
    <w:rsid w:val="009278E0"/>
    <w:rsid w:val="009B6668"/>
    <w:rsid w:val="00B75FA3"/>
    <w:rsid w:val="00E871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24E"/>
  </w:style>
  <w:style w:type="paragraph" w:styleId="Heading1">
    <w:name w:val="heading 1"/>
    <w:basedOn w:val="normal0"/>
    <w:next w:val="normal0"/>
    <w:rsid w:val="008B3DF1"/>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0"/>
    <w:next w:val="normal0"/>
    <w:rsid w:val="008B3DF1"/>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0"/>
    <w:next w:val="normal0"/>
    <w:rsid w:val="008B3DF1"/>
    <w:pPr>
      <w:keepNext/>
      <w:keepLines/>
      <w:spacing w:before="200" w:after="0"/>
      <w:outlineLvl w:val="2"/>
    </w:pPr>
    <w:rPr>
      <w:rFonts w:ascii="Calibri" w:eastAsia="Calibri" w:hAnsi="Calibri" w:cs="Calibri"/>
      <w:b/>
      <w:bCs/>
      <w:color w:val="4F81BD"/>
    </w:rPr>
  </w:style>
  <w:style w:type="paragraph" w:styleId="Heading4">
    <w:name w:val="heading 4"/>
    <w:basedOn w:val="normal0"/>
    <w:next w:val="normal0"/>
    <w:rsid w:val="008B3DF1"/>
    <w:pPr>
      <w:keepNext/>
      <w:keepLines/>
      <w:spacing w:before="200" w:after="0"/>
      <w:outlineLvl w:val="3"/>
    </w:pPr>
    <w:rPr>
      <w:rFonts w:ascii="Calibri" w:eastAsia="Calibri" w:hAnsi="Calibri" w:cs="Calibri"/>
      <w:b/>
      <w:bCs/>
      <w:i/>
      <w:iCs/>
      <w:color w:val="4F81BD"/>
    </w:rPr>
  </w:style>
  <w:style w:type="paragraph" w:styleId="Heading5">
    <w:name w:val="heading 5"/>
    <w:basedOn w:val="normal0"/>
    <w:next w:val="normal0"/>
    <w:rsid w:val="008B3DF1"/>
    <w:pPr>
      <w:keepNext/>
      <w:keepLines/>
      <w:spacing w:before="200" w:after="0"/>
      <w:outlineLvl w:val="4"/>
    </w:pPr>
    <w:rPr>
      <w:rFonts w:ascii="Calibri" w:eastAsia="Calibri" w:hAnsi="Calibri" w:cs="Calibri"/>
      <w:color w:val="243F61"/>
    </w:rPr>
  </w:style>
  <w:style w:type="paragraph" w:styleId="Heading6">
    <w:name w:val="heading 6"/>
    <w:basedOn w:val="normal0"/>
    <w:next w:val="normal0"/>
    <w:rsid w:val="008B3DF1"/>
    <w:pPr>
      <w:keepNext/>
      <w:keepLines/>
      <w:spacing w:before="200" w:after="0"/>
      <w:outlineLvl w:val="5"/>
    </w:pPr>
    <w:rPr>
      <w:rFonts w:ascii="Calibri" w:eastAsia="Calibri" w:hAnsi="Calibri" w:cs="Calibri"/>
      <w:i/>
      <w:iCs/>
      <w:color w:val="243F61"/>
    </w:rPr>
  </w:style>
  <w:style w:type="paragraph" w:styleId="Heading7">
    <w:name w:val="heading 7"/>
    <w:basedOn w:val="normal0"/>
    <w:next w:val="normal0"/>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0"/>
    <w:next w:val="normal0"/>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0"/>
    <w:next w:val="normal0"/>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8B3DF1"/>
    <w:tblPr>
      <w:tblCellMar>
        <w:top w:w="100" w:type="dxa"/>
        <w:left w:w="100" w:type="dxa"/>
        <w:bottom w:w="100" w:type="dxa"/>
        <w:right w:w="100" w:type="dxa"/>
      </w:tblCellMar>
    </w:tblPr>
  </w:style>
  <w:style w:type="paragraph" w:customStyle="1" w:styleId="normal0">
    <w:name w:val="normal"/>
    <w:rsid w:val="008B3DF1"/>
  </w:style>
  <w:style w:type="paragraph" w:styleId="Title">
    <w:name w:val="Title"/>
    <w:basedOn w:val="normal0"/>
    <w:next w:val="normal0"/>
    <w:rsid w:val="008B3DF1"/>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0"/>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0"/>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Ttulo1Car">
    <w:name w:val="Título 1 Car"/>
    <w:basedOn w:val="DefaultParagraphFont"/>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DefaultParagraphFont"/>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DefaultParagraphFont"/>
    <w:uiPriority w:val="9"/>
    <w:rsid w:val="00FC693F"/>
    <w:rPr>
      <w:rFonts w:asciiTheme="majorHAnsi" w:eastAsiaTheme="majorEastAsia" w:hAnsiTheme="majorHAnsi" w:cstheme="majorBidi"/>
      <w:b/>
      <w:bCs/>
      <w:color w:val="4F81BD" w:themeColor="accent1"/>
    </w:rPr>
  </w:style>
  <w:style w:type="character" w:customStyle="1" w:styleId="TtuloCar">
    <w:name w:val="Título Car"/>
    <w:basedOn w:val="DefaultParagraphFont"/>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ar">
    <w:name w:val="Subtítulo Car"/>
    <w:basedOn w:val="DefaultParagraphFont"/>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0"/>
    <w:uiPriority w:val="34"/>
    <w:qFormat/>
    <w:rsid w:val="00FC693F"/>
    <w:pPr>
      <w:ind w:left="720"/>
      <w:contextualSpacing/>
    </w:pPr>
  </w:style>
  <w:style w:type="paragraph" w:styleId="BodyText">
    <w:name w:val="Body Text"/>
    <w:basedOn w:val="normal0"/>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0"/>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0"/>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0"/>
    <w:uiPriority w:val="99"/>
    <w:unhideWhenUsed/>
    <w:rsid w:val="00AA1D8D"/>
    <w:pPr>
      <w:ind w:left="360" w:hanging="360"/>
      <w:contextualSpacing/>
    </w:pPr>
  </w:style>
  <w:style w:type="paragraph" w:styleId="List2">
    <w:name w:val="List 2"/>
    <w:basedOn w:val="normal0"/>
    <w:uiPriority w:val="99"/>
    <w:unhideWhenUsed/>
    <w:rsid w:val="00326F90"/>
    <w:pPr>
      <w:ind w:left="720" w:hanging="360"/>
      <w:contextualSpacing/>
    </w:pPr>
  </w:style>
  <w:style w:type="paragraph" w:styleId="List3">
    <w:name w:val="List 3"/>
    <w:basedOn w:val="normal0"/>
    <w:uiPriority w:val="99"/>
    <w:unhideWhenUsed/>
    <w:rsid w:val="00326F90"/>
    <w:pPr>
      <w:ind w:left="1080" w:hanging="360"/>
      <w:contextualSpacing/>
    </w:pPr>
  </w:style>
  <w:style w:type="paragraph" w:styleId="ListBullet">
    <w:name w:val="List Bullet"/>
    <w:basedOn w:val="normal0"/>
    <w:uiPriority w:val="99"/>
    <w:unhideWhenUsed/>
    <w:rsid w:val="00326F90"/>
    <w:pPr>
      <w:numPr>
        <w:numId w:val="1"/>
      </w:numPr>
      <w:contextualSpacing/>
    </w:pPr>
  </w:style>
  <w:style w:type="paragraph" w:styleId="ListBullet2">
    <w:name w:val="List Bullet 2"/>
    <w:basedOn w:val="normal0"/>
    <w:uiPriority w:val="99"/>
    <w:unhideWhenUsed/>
    <w:rsid w:val="00326F90"/>
    <w:pPr>
      <w:tabs>
        <w:tab w:val="num" w:pos="720"/>
      </w:tabs>
      <w:ind w:left="720" w:hanging="720"/>
      <w:contextualSpacing/>
    </w:pPr>
  </w:style>
  <w:style w:type="paragraph" w:styleId="ListBullet3">
    <w:name w:val="List Bullet 3"/>
    <w:basedOn w:val="normal0"/>
    <w:uiPriority w:val="99"/>
    <w:unhideWhenUsed/>
    <w:rsid w:val="00326F90"/>
    <w:pPr>
      <w:tabs>
        <w:tab w:val="num" w:pos="720"/>
      </w:tabs>
      <w:ind w:left="720" w:hanging="720"/>
      <w:contextualSpacing/>
    </w:pPr>
  </w:style>
  <w:style w:type="paragraph" w:styleId="ListNumber">
    <w:name w:val="List Number"/>
    <w:basedOn w:val="normal0"/>
    <w:uiPriority w:val="99"/>
    <w:unhideWhenUsed/>
    <w:rsid w:val="00326F90"/>
    <w:pPr>
      <w:tabs>
        <w:tab w:val="num" w:pos="720"/>
      </w:tabs>
      <w:ind w:left="720" w:hanging="720"/>
      <w:contextualSpacing/>
    </w:pPr>
  </w:style>
  <w:style w:type="paragraph" w:styleId="ListNumber2">
    <w:name w:val="List Number 2"/>
    <w:basedOn w:val="normal0"/>
    <w:uiPriority w:val="99"/>
    <w:unhideWhenUsed/>
    <w:rsid w:val="0029639D"/>
    <w:pPr>
      <w:tabs>
        <w:tab w:val="num" w:pos="720"/>
      </w:tabs>
      <w:ind w:left="720" w:hanging="720"/>
      <w:contextualSpacing/>
    </w:pPr>
  </w:style>
  <w:style w:type="paragraph" w:styleId="ListNumber3">
    <w:name w:val="List Number 3"/>
    <w:basedOn w:val="normal0"/>
    <w:uiPriority w:val="99"/>
    <w:unhideWhenUsed/>
    <w:rsid w:val="0029639D"/>
    <w:pPr>
      <w:tabs>
        <w:tab w:val="num" w:pos="720"/>
      </w:tabs>
      <w:ind w:left="720" w:hanging="720"/>
      <w:contextualSpacing/>
    </w:pPr>
  </w:style>
  <w:style w:type="paragraph" w:styleId="ListContinue">
    <w:name w:val="List Continue"/>
    <w:basedOn w:val="normal0"/>
    <w:uiPriority w:val="99"/>
    <w:unhideWhenUsed/>
    <w:rsid w:val="0029639D"/>
    <w:pPr>
      <w:spacing w:after="120"/>
      <w:ind w:left="360"/>
      <w:contextualSpacing/>
    </w:pPr>
  </w:style>
  <w:style w:type="paragraph" w:styleId="ListContinue2">
    <w:name w:val="List Continue 2"/>
    <w:basedOn w:val="normal0"/>
    <w:uiPriority w:val="99"/>
    <w:unhideWhenUsed/>
    <w:rsid w:val="0029639D"/>
    <w:pPr>
      <w:spacing w:after="120"/>
      <w:ind w:left="720"/>
      <w:contextualSpacing/>
    </w:pPr>
  </w:style>
  <w:style w:type="paragraph" w:styleId="ListContinue3">
    <w:name w:val="List Continue 3"/>
    <w:basedOn w:val="normal0"/>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0"/>
    <w:next w:val="normal0"/>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Ttulo4Car">
    <w:name w:val="Título 4 Car"/>
    <w:basedOn w:val="DefaultParagraphFont"/>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DefaultParagraphFont"/>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DefaultParagraphFont"/>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0"/>
    <w:next w:val="normal0"/>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0"/>
    <w:next w:val="normal0"/>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next w:val="normal0"/>
    <w:uiPriority w:val="39"/>
    <w:semiHidden/>
    <w:unhideWhenUsed/>
    <w:qFormat/>
    <w:rsid w:val="00FC693F"/>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0"/>
    <w:link w:val="FootnoteTextChar"/>
    <w:uiPriority w:val="99"/>
    <w:semiHidden/>
    <w:unhideWhenUsed/>
    <w:rsid w:val="00414A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4A02"/>
    <w:rPr>
      <w:sz w:val="20"/>
      <w:szCs w:val="20"/>
    </w:rPr>
  </w:style>
  <w:style w:type="character" w:styleId="FootnoteReference">
    <w:name w:val="footnote reference"/>
    <w:basedOn w:val="DefaultParagraphFont"/>
    <w:uiPriority w:val="99"/>
    <w:semiHidden/>
    <w:unhideWhenUsed/>
    <w:rsid w:val="00414A02"/>
    <w:rPr>
      <w:vertAlign w:val="superscript"/>
    </w:rPr>
  </w:style>
  <w:style w:type="paragraph" w:styleId="Subtitle">
    <w:name w:val="Subtitle"/>
    <w:basedOn w:val="normal0"/>
    <w:next w:val="normal0"/>
    <w:rsid w:val="008B3DF1"/>
    <w:rPr>
      <w:rFonts w:ascii="Calibri" w:eastAsia="Calibri" w:hAnsi="Calibri" w:cs="Calibri"/>
      <w:i/>
      <w:iCs/>
      <w:color w:val="4F81BD"/>
      <w:sz w:val="24"/>
      <w:szCs w:val="24"/>
    </w:rPr>
  </w:style>
  <w:style w:type="character" w:styleId="Hyperlink">
    <w:name w:val="Hyperlink"/>
    <w:basedOn w:val="DefaultParagraphFont"/>
    <w:uiPriority w:val="99"/>
    <w:unhideWhenUsed/>
    <w:rsid w:val="003E28EB"/>
    <w:rPr>
      <w:color w:val="0000FF" w:themeColor="hyperlink"/>
      <w:u w:val="single"/>
    </w:rPr>
  </w:style>
  <w:style w:type="character" w:styleId="FollowedHyperlink">
    <w:name w:val="FollowedHyperlink"/>
    <w:basedOn w:val="DefaultParagraphFont"/>
    <w:uiPriority w:val="99"/>
    <w:semiHidden/>
    <w:unhideWhenUsed/>
    <w:rsid w:val="003E28E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doi.org/2110.1080/13562517.13562021.11952566" TargetMode="External"/><Relationship Id="rId13" Type="http://schemas.openxmlformats.org/officeDocument/2006/relationships/hyperlink" Target="https://ojs162.fch.unicen.edu.ar/ojs-163.161.160/index.php/espacios-en-blanco/article/view/870" TargetMode="External"/><Relationship Id="rId18" Type="http://schemas.openxmlformats.org/officeDocument/2006/relationships/hyperlink" Target="https://doi.org/10.25100/lenguaje.v25153i25101.14612"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7227/pys.num17262-20239" TargetMode="External"/><Relationship Id="rId7" Type="http://schemas.openxmlformats.org/officeDocument/2006/relationships/endnotes" Target="endnotes.xml"/><Relationship Id="rId12" Type="http://schemas.openxmlformats.org/officeDocument/2006/relationships/hyperlink" Target="https://cerac.unlpam.edu.ar/index.php/praxis/article/view/4927" TargetMode="External"/><Relationship Id="rId17" Type="http://schemas.openxmlformats.org/officeDocument/2006/relationships/hyperlink" Target="https://ffyh.unc.edu.ar/publicaciones/tienda/publicaciones-de-investigacion/ciffyh/colecciones-del-ciffyh/alfabetizacion-disciplinar-y-formacion-docente-conversaciones-sobre-practicas-discursiva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8552/joaw.v18513i18552.18788" TargetMode="External"/><Relationship Id="rId20" Type="http://schemas.openxmlformats.org/officeDocument/2006/relationships/hyperlink" Target="https://doi.org/10.14482/zp.14440.14211.149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081/eduhum.17023.17040.13995" TargetMode="External"/><Relationship Id="rId24" Type="http://schemas.openxmlformats.org/officeDocument/2006/relationships/hyperlink" Target="https://doi.org/10.18537/mskn.18512.18501.18501" TargetMode="External"/><Relationship Id="rId5" Type="http://schemas.openxmlformats.org/officeDocument/2006/relationships/webSettings" Target="webSettings.xml"/><Relationship Id="rId15" Type="http://schemas.openxmlformats.org/officeDocument/2006/relationships/hyperlink" Target="https://doi.org/10.1080/07294360.07292020.01756750" TargetMode="External"/><Relationship Id="rId23" Type="http://schemas.openxmlformats.org/officeDocument/2006/relationships/hyperlink" Target="https://fh.mdp.edu.ar/revistas/index.php/r_educ/article/view/8268/8532" TargetMode="External"/><Relationship Id="rId28" Type="http://schemas.openxmlformats.org/officeDocument/2006/relationships/theme" Target="theme/theme1.xml"/><Relationship Id="rId10" Type="http://schemas.openxmlformats.org/officeDocument/2006/relationships/hyperlink" Target="https://ri.conicet.gov.ar/handle/11336/75731" TargetMode="External"/><Relationship Id="rId19" Type="http://schemas.openxmlformats.org/officeDocument/2006/relationships/hyperlink" Target="https://doi.org/10.19137/praxiseducativa-12024-280117" TargetMode="External"/><Relationship Id="rId4" Type="http://schemas.openxmlformats.org/officeDocument/2006/relationships/settings" Target="settings.xml"/><Relationship Id="rId9" Type="http://schemas.openxmlformats.org/officeDocument/2006/relationships/hyperlink" Target="http://bibliotecavirtual.unl.edu.ar/publicaciones/index.php/AulaUniversitaria/article/view/4368/6643" TargetMode="External"/><Relationship Id="rId14" Type="http://schemas.openxmlformats.org/officeDocument/2006/relationships/hyperlink" Target="https://www.ungs.edu.ar/libro/ensenanza-de-la-escritura-de-la-tesis-de-posgrado-en-entornos-presenciales-y-virtuales" TargetMode="External"/><Relationship Id="rId22" Type="http://schemas.openxmlformats.org/officeDocument/2006/relationships/hyperlink" Target="https://publicaciones.ucuenca.edu.ec/ojs/index.php/pucara/issue/view/199/PDF129"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oFQlDcYrdgiVbKXAcCDR2S7U6w==">CgMxLjA4AHIhMVgtc296TjlZdHAxRUJqQWE5amw5NUFmWllJajNoZ2M5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8</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anonimo</cp:lastModifiedBy>
  <cp:revision>9</cp:revision>
  <dcterms:created xsi:type="dcterms:W3CDTF">2026-02-16T13:37:00Z</dcterms:created>
  <dcterms:modified xsi:type="dcterms:W3CDTF">2026-05-22T18:43:00Z</dcterms:modified>
</cp:coreProperties>
</file>