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EC4CF" w14:textId="77777777" w:rsidR="00EA50F7" w:rsidRDefault="00EA50F7" w:rsidP="00EA50F7">
      <w:pPr>
        <w:spacing w:line="360" w:lineRule="auto"/>
        <w:jc w:val="center"/>
        <w:rPr>
          <w:rFonts w:ascii="Arial" w:eastAsia="Arial" w:hAnsi="Arial"/>
          <w:b/>
          <w:sz w:val="28"/>
          <w:lang w:val="es-AR"/>
        </w:rPr>
      </w:pPr>
    </w:p>
    <w:p w14:paraId="33F100FB" w14:textId="77777777" w:rsidR="00EA50F7" w:rsidRPr="00BB4CF4" w:rsidRDefault="00EA50F7" w:rsidP="00EA50F7">
      <w:pPr>
        <w:spacing w:line="360" w:lineRule="auto"/>
        <w:jc w:val="center"/>
        <w:rPr>
          <w:rFonts w:ascii="Arial" w:eastAsia="Arial" w:hAnsi="Arial"/>
          <w:b/>
          <w:sz w:val="28"/>
          <w:lang w:val="es-BO"/>
        </w:rPr>
      </w:pPr>
    </w:p>
    <w:p w14:paraId="3FBF7779" w14:textId="71407B58" w:rsidR="00EA50F7" w:rsidRPr="003511CF" w:rsidRDefault="00550416" w:rsidP="00EA50F7">
      <w:pPr>
        <w:spacing w:line="360" w:lineRule="auto"/>
        <w:jc w:val="center"/>
        <w:rPr>
          <w:rFonts w:ascii="Arial" w:eastAsia="Arial" w:hAnsi="Arial"/>
          <w:b/>
          <w:sz w:val="28"/>
          <w:lang w:val="es-AR"/>
        </w:rPr>
      </w:pPr>
      <w:r w:rsidRPr="003511CF">
        <w:rPr>
          <w:rFonts w:ascii="Arial" w:eastAsia="Arial" w:hAnsi="Arial"/>
          <w:b/>
          <w:sz w:val="28"/>
          <w:lang w:val="es-AR"/>
        </w:rPr>
        <w:t xml:space="preserve">DESARROLLO DE COMPETENCIAS DE COMUNICACIÓN Y PENSAMIENTO EN LA EDUCACIÓN SUPERIOR: IMPLEMENTACIÓN </w:t>
      </w:r>
      <w:r>
        <w:rPr>
          <w:rFonts w:ascii="Arial" w:eastAsia="Arial" w:hAnsi="Arial"/>
          <w:b/>
          <w:sz w:val="28"/>
          <w:lang w:val="es-AR"/>
        </w:rPr>
        <w:t xml:space="preserve">Y RESULTADOS </w:t>
      </w:r>
      <w:r w:rsidRPr="003511CF">
        <w:rPr>
          <w:rFonts w:ascii="Arial" w:eastAsia="Arial" w:hAnsi="Arial"/>
          <w:b/>
          <w:sz w:val="28"/>
          <w:lang w:val="es-AR"/>
        </w:rPr>
        <w:t xml:space="preserve">DE UN MODELO INTEGRADO </w:t>
      </w:r>
    </w:p>
    <w:p w14:paraId="461AC862" w14:textId="1F914A7A" w:rsidR="00550416" w:rsidRPr="00550416" w:rsidRDefault="00550416" w:rsidP="00550416">
      <w:pPr>
        <w:spacing w:line="360" w:lineRule="auto"/>
        <w:jc w:val="center"/>
        <w:rPr>
          <w:rFonts w:ascii="Arial" w:eastAsia="Arial" w:hAnsi="Arial"/>
          <w:b/>
          <w:sz w:val="28"/>
          <w:lang w:val="es-CL"/>
        </w:rPr>
      </w:pPr>
      <w:r w:rsidRPr="00550416">
        <w:rPr>
          <w:rFonts w:ascii="Arial" w:eastAsia="Arial" w:hAnsi="Arial"/>
          <w:b/>
          <w:sz w:val="28"/>
          <w:lang w:val="es-CL"/>
        </w:rPr>
        <w:t>DEVELOPMENT OF COMMUNICATION AND THINKING SKILLS IN HIGHER EDUCATION: IMPLEMENTATION AND RESULTS OF AN INTEGRATED MODEL</w:t>
      </w:r>
    </w:p>
    <w:p w14:paraId="24BFE2BC" w14:textId="5B151E1B" w:rsidR="00550416" w:rsidRPr="00550416" w:rsidRDefault="00550416" w:rsidP="00EA50F7">
      <w:pPr>
        <w:spacing w:line="360" w:lineRule="auto"/>
        <w:jc w:val="center"/>
        <w:rPr>
          <w:rFonts w:ascii="Arial" w:eastAsia="Arial" w:hAnsi="Arial"/>
          <w:b/>
          <w:sz w:val="28"/>
          <w:lang w:val="es-CL"/>
        </w:rPr>
      </w:pPr>
      <w:r w:rsidRPr="00550416">
        <w:rPr>
          <w:rFonts w:ascii="Arial" w:eastAsia="Arial" w:hAnsi="Arial"/>
          <w:b/>
          <w:sz w:val="28"/>
          <w:lang w:val="es-CL"/>
        </w:rPr>
        <w:t>DESENVOLVIMENTO DE COMPETÊNCIAS DE COMUNICAÇÃO E PENSAMENTO NO ENSINO SUPERIOR: IMPLEMENTAÇÃO E RESULTADOS DE UM MODELO INTEGRADO</w:t>
      </w:r>
    </w:p>
    <w:p w14:paraId="2F015730" w14:textId="77777777" w:rsidR="00550416" w:rsidRDefault="00550416" w:rsidP="00EA50F7">
      <w:pPr>
        <w:spacing w:line="360" w:lineRule="auto"/>
        <w:jc w:val="center"/>
        <w:rPr>
          <w:highlight w:val="yellow"/>
          <w:lang w:val="es-AR"/>
        </w:rPr>
      </w:pPr>
    </w:p>
    <w:p w14:paraId="1FA31FF0" w14:textId="706A09A8" w:rsidR="00EA50F7" w:rsidRDefault="00EA50F7" w:rsidP="00EA50F7">
      <w:pPr>
        <w:spacing w:line="360" w:lineRule="auto"/>
        <w:jc w:val="center"/>
        <w:rPr>
          <w:lang w:val="es-AR"/>
        </w:rPr>
      </w:pPr>
      <w:r w:rsidRPr="00414A02">
        <w:rPr>
          <w:highlight w:val="yellow"/>
          <w:lang w:val="es-AR"/>
        </w:rPr>
        <w:t>Autor 1</w:t>
      </w:r>
      <w:r w:rsidRPr="00414A02">
        <w:rPr>
          <w:rStyle w:val="Refdenotaalpie"/>
          <w:highlight w:val="yellow"/>
          <w:lang w:val="es-AR"/>
        </w:rPr>
        <w:footnoteReference w:id="1"/>
      </w:r>
      <w:r w:rsidRPr="00414A02">
        <w:rPr>
          <w:highlight w:val="yellow"/>
          <w:lang w:val="es-AR"/>
        </w:rPr>
        <w:t>, Autor 2</w:t>
      </w:r>
      <w:r w:rsidRPr="00414A02">
        <w:rPr>
          <w:rStyle w:val="Refdenotaalpie"/>
          <w:highlight w:val="yellow"/>
          <w:lang w:val="es-AR"/>
        </w:rPr>
        <w:footnoteReference w:id="2"/>
      </w:r>
      <w:r w:rsidRPr="00414A02">
        <w:rPr>
          <w:highlight w:val="yellow"/>
          <w:lang w:val="es-AR"/>
        </w:rPr>
        <w:t>, Autor 3</w:t>
      </w:r>
      <w:r w:rsidRPr="00414A02">
        <w:rPr>
          <w:rStyle w:val="Refdenotaalpie"/>
          <w:highlight w:val="yellow"/>
          <w:lang w:val="es-AR"/>
        </w:rPr>
        <w:footnoteReference w:id="3"/>
      </w:r>
      <w:r>
        <w:rPr>
          <w:lang w:val="es-AR"/>
        </w:rPr>
        <w:t xml:space="preserve"> </w:t>
      </w:r>
    </w:p>
    <w:p w14:paraId="500CF0CF" w14:textId="77777777" w:rsidR="00EA50F7" w:rsidRDefault="00EA50F7" w:rsidP="00EA50F7">
      <w:pPr>
        <w:spacing w:line="360" w:lineRule="auto"/>
        <w:jc w:val="center"/>
        <w:rPr>
          <w:lang w:val="es-AR"/>
        </w:rPr>
      </w:pPr>
      <w:r w:rsidRPr="00414A02">
        <w:rPr>
          <w:highlight w:val="yellow"/>
          <w:lang w:val="es-AR"/>
        </w:rPr>
        <w:t>No colocar los datos de los autores para garantizar la evaluación a doble ciego</w:t>
      </w:r>
    </w:p>
    <w:p w14:paraId="1B7F1F00" w14:textId="77777777" w:rsidR="00EA50F7" w:rsidRPr="00414A02" w:rsidRDefault="00EA50F7" w:rsidP="00EA50F7">
      <w:pPr>
        <w:spacing w:line="360" w:lineRule="auto"/>
        <w:rPr>
          <w:lang w:val="es-AR"/>
        </w:rPr>
      </w:pPr>
      <w:r w:rsidRPr="00414A02">
        <w:rPr>
          <w:rFonts w:ascii="Arial" w:eastAsia="Arial" w:hAnsi="Arial"/>
          <w:lang w:val="es-AR"/>
        </w:rPr>
        <w:t xml:space="preserve">Palabras clave: </w:t>
      </w:r>
      <w:r>
        <w:rPr>
          <w:rFonts w:ascii="Arial" w:eastAsia="Arial" w:hAnsi="Arial"/>
          <w:lang w:val="es-BO"/>
        </w:rPr>
        <w:t xml:space="preserve">escritura </w:t>
      </w:r>
      <w:r w:rsidRPr="00BB4CF4">
        <w:rPr>
          <w:rFonts w:ascii="Arial" w:eastAsia="Arial" w:hAnsi="Arial"/>
          <w:lang w:val="es-BO"/>
        </w:rPr>
        <w:t xml:space="preserve">académica; pensamiento crítico; </w:t>
      </w:r>
      <w:r>
        <w:rPr>
          <w:rFonts w:ascii="Arial" w:eastAsia="Arial" w:hAnsi="Arial"/>
          <w:lang w:val="es-BO"/>
        </w:rPr>
        <w:t>desarrollo de competencias a través del currículum</w:t>
      </w:r>
      <w:r w:rsidRPr="00BB4CF4">
        <w:rPr>
          <w:rFonts w:ascii="Arial" w:eastAsia="Arial" w:hAnsi="Arial"/>
          <w:lang w:val="es-BO"/>
        </w:rPr>
        <w:t>; alfabetización académica</w:t>
      </w:r>
      <w:r>
        <w:rPr>
          <w:rFonts w:ascii="Arial" w:eastAsia="Arial" w:hAnsi="Arial"/>
          <w:lang w:val="es-BO"/>
        </w:rPr>
        <w:t xml:space="preserve">; </w:t>
      </w:r>
      <w:r w:rsidRPr="00BB4CF4">
        <w:rPr>
          <w:rFonts w:ascii="Arial" w:eastAsia="Arial" w:hAnsi="Arial"/>
          <w:lang w:val="es-BO"/>
        </w:rPr>
        <w:t>educación superior</w:t>
      </w:r>
      <w:r>
        <w:rPr>
          <w:rFonts w:ascii="Arial" w:eastAsia="Arial" w:hAnsi="Arial"/>
          <w:lang w:val="es-BO"/>
        </w:rPr>
        <w:t>.</w:t>
      </w:r>
    </w:p>
    <w:p w14:paraId="76D508C1" w14:textId="59135489" w:rsidR="00EA50F7" w:rsidRDefault="00EA50F7" w:rsidP="00EA50F7">
      <w:pPr>
        <w:spacing w:line="360" w:lineRule="auto"/>
      </w:pPr>
      <w:r>
        <w:rPr>
          <w:rFonts w:ascii="Arial" w:eastAsia="Arial" w:hAnsi="Arial"/>
        </w:rPr>
        <w:t xml:space="preserve">Keywords: </w:t>
      </w:r>
      <w:r w:rsidR="00550416" w:rsidRPr="00550416">
        <w:rPr>
          <w:rFonts w:ascii="Arial" w:eastAsia="Arial" w:hAnsi="Arial"/>
        </w:rPr>
        <w:t>academic writing; critical thinking; competency development across the curriculum; academic literacy; higher education</w:t>
      </w:r>
    </w:p>
    <w:p w14:paraId="78B6E52F" w14:textId="77777777" w:rsidR="00550416" w:rsidRPr="00550416" w:rsidRDefault="00EA50F7" w:rsidP="00550416">
      <w:pPr>
        <w:spacing w:line="360" w:lineRule="auto"/>
        <w:rPr>
          <w:rFonts w:ascii="Arial" w:eastAsia="Arial" w:hAnsi="Arial"/>
          <w:lang w:val="es-CL"/>
        </w:rPr>
      </w:pPr>
      <w:r>
        <w:rPr>
          <w:rFonts w:ascii="Arial" w:eastAsia="Arial" w:hAnsi="Arial"/>
        </w:rPr>
        <w:t xml:space="preserve">Palavras-chave: </w:t>
      </w:r>
      <w:r w:rsidR="00550416" w:rsidRPr="00550416">
        <w:rPr>
          <w:rFonts w:ascii="Arial" w:eastAsia="Arial" w:hAnsi="Arial"/>
          <w:lang w:val="es-CL"/>
        </w:rPr>
        <w:t>escrita acadêmica; pensamento crítico; desenvolvimento de competências ao longo do currículo; letramento acadêmico; ensino superior</w:t>
      </w:r>
    </w:p>
    <w:p w14:paraId="65BDD86F" w14:textId="1B83401A" w:rsidR="00EA50F7" w:rsidRDefault="00EA50F7" w:rsidP="00EA50F7">
      <w:pPr>
        <w:spacing w:line="360" w:lineRule="auto"/>
      </w:pPr>
    </w:p>
    <w:p w14:paraId="21173B9F" w14:textId="77777777" w:rsidR="00550416" w:rsidRDefault="00550416" w:rsidP="00EA50F7">
      <w:pPr>
        <w:spacing w:line="360" w:lineRule="auto"/>
        <w:rPr>
          <w:rFonts w:ascii="Arial" w:eastAsia="Arial" w:hAnsi="Arial"/>
          <w:b/>
          <w:sz w:val="24"/>
          <w:lang w:val="es-AR"/>
        </w:rPr>
      </w:pPr>
    </w:p>
    <w:p w14:paraId="0ED19E8E" w14:textId="77777777" w:rsidR="00550416" w:rsidRDefault="00550416" w:rsidP="00EA50F7">
      <w:pPr>
        <w:spacing w:line="360" w:lineRule="auto"/>
        <w:rPr>
          <w:rFonts w:ascii="Arial" w:eastAsia="Arial" w:hAnsi="Arial"/>
          <w:b/>
          <w:sz w:val="24"/>
          <w:lang w:val="es-AR"/>
        </w:rPr>
      </w:pPr>
    </w:p>
    <w:p w14:paraId="3F251223" w14:textId="1357151C" w:rsidR="00EA50F7" w:rsidRPr="00414A02" w:rsidRDefault="00EA50F7" w:rsidP="00EA50F7">
      <w:pPr>
        <w:spacing w:line="360" w:lineRule="auto"/>
        <w:rPr>
          <w:lang w:val="es-AR"/>
        </w:rPr>
      </w:pPr>
      <w:r w:rsidRPr="00414A02">
        <w:rPr>
          <w:rFonts w:ascii="Arial" w:eastAsia="Arial" w:hAnsi="Arial"/>
          <w:b/>
          <w:sz w:val="24"/>
          <w:lang w:val="es-AR"/>
        </w:rPr>
        <w:t>RESUMEN EXTENDIDO (mínimo 600 palabras – máximo 1500 palabras)</w:t>
      </w:r>
    </w:p>
    <w:p w14:paraId="0C358D34" w14:textId="77777777" w:rsidR="00EA50F7" w:rsidRPr="00E06C57" w:rsidRDefault="00EA50F7" w:rsidP="00EA50F7">
      <w:pPr>
        <w:spacing w:line="360" w:lineRule="auto"/>
        <w:jc w:val="both"/>
        <w:rPr>
          <w:rFonts w:ascii="Arial" w:hAnsi="Arial" w:cs="Arial"/>
          <w:b/>
          <w:bCs/>
          <w:sz w:val="24"/>
          <w:szCs w:val="24"/>
          <w:lang w:val="es-CL"/>
        </w:rPr>
      </w:pPr>
      <w:r w:rsidRPr="00E06C57">
        <w:rPr>
          <w:rFonts w:ascii="Arial" w:hAnsi="Arial" w:cs="Arial"/>
          <w:b/>
          <w:bCs/>
          <w:sz w:val="24"/>
          <w:szCs w:val="24"/>
          <w:lang w:val="es-CL"/>
        </w:rPr>
        <w:t>Introducción</w:t>
      </w:r>
    </w:p>
    <w:p w14:paraId="7D76B81D" w14:textId="77777777" w:rsidR="00EA50F7" w:rsidRPr="00E06C57" w:rsidRDefault="00EA50F7" w:rsidP="00EA50F7">
      <w:pPr>
        <w:spacing w:line="360" w:lineRule="auto"/>
        <w:jc w:val="both"/>
        <w:rPr>
          <w:rFonts w:ascii="Arial" w:hAnsi="Arial" w:cs="Arial"/>
          <w:sz w:val="24"/>
          <w:szCs w:val="24"/>
          <w:lang w:val="es-CL"/>
        </w:rPr>
      </w:pPr>
      <w:r w:rsidRPr="00E06C57">
        <w:rPr>
          <w:rFonts w:ascii="Arial" w:hAnsi="Arial" w:cs="Arial"/>
          <w:sz w:val="24"/>
          <w:szCs w:val="24"/>
          <w:lang w:val="es-CL"/>
        </w:rPr>
        <w:t xml:space="preserve">El desarrollo de competencias de comunicación y pensamiento crítico constituye un eje central en la formación universitaria, dado su impacto </w:t>
      </w:r>
      <w:r>
        <w:rPr>
          <w:rFonts w:ascii="Arial" w:hAnsi="Arial" w:cs="Arial"/>
          <w:sz w:val="24"/>
          <w:szCs w:val="24"/>
          <w:lang w:val="es-CL"/>
        </w:rPr>
        <w:t>en</w:t>
      </w:r>
      <w:r w:rsidRPr="00E06C57">
        <w:rPr>
          <w:rFonts w:ascii="Arial" w:hAnsi="Arial" w:cs="Arial"/>
          <w:sz w:val="24"/>
          <w:szCs w:val="24"/>
          <w:lang w:val="es-CL"/>
        </w:rPr>
        <w:t xml:space="preserve"> la construcción de conocimiento disciplinar </w:t>
      </w:r>
      <w:r>
        <w:rPr>
          <w:rFonts w:ascii="Arial" w:hAnsi="Arial" w:cs="Arial"/>
          <w:sz w:val="24"/>
          <w:szCs w:val="24"/>
          <w:lang w:val="es-CL"/>
        </w:rPr>
        <w:t xml:space="preserve">y </w:t>
      </w:r>
      <w:r w:rsidRPr="00E06C57">
        <w:rPr>
          <w:rFonts w:ascii="Arial" w:hAnsi="Arial" w:cs="Arial"/>
          <w:sz w:val="24"/>
          <w:szCs w:val="24"/>
          <w:lang w:val="es-CL"/>
        </w:rPr>
        <w:t>en el desempeño académico</w:t>
      </w:r>
      <w:r>
        <w:rPr>
          <w:rFonts w:ascii="Arial" w:hAnsi="Arial" w:cs="Arial"/>
          <w:sz w:val="24"/>
          <w:szCs w:val="24"/>
          <w:lang w:val="es-CL"/>
        </w:rPr>
        <w:t xml:space="preserve"> </w:t>
      </w:r>
      <w:r w:rsidRPr="00E06C57">
        <w:rPr>
          <w:rFonts w:ascii="Arial" w:hAnsi="Arial" w:cs="Arial"/>
          <w:sz w:val="24"/>
          <w:szCs w:val="24"/>
          <w:lang w:val="es-CL"/>
        </w:rPr>
        <w:t>de los estudiantes</w:t>
      </w:r>
      <w:r>
        <w:rPr>
          <w:rFonts w:ascii="Arial" w:hAnsi="Arial" w:cs="Arial"/>
          <w:sz w:val="24"/>
          <w:szCs w:val="24"/>
          <w:lang w:val="es-CL"/>
        </w:rPr>
        <w:t xml:space="preserve"> </w:t>
      </w:r>
      <w:r w:rsidRPr="00E06C57">
        <w:rPr>
          <w:rFonts w:ascii="Arial" w:hAnsi="Arial" w:cs="Arial"/>
          <w:sz w:val="24"/>
          <w:szCs w:val="24"/>
          <w:lang w:val="es-CL"/>
        </w:rPr>
        <w:t>(Benítez et al., 2018; Urzúa-Martínez et al., 2021)</w:t>
      </w:r>
      <w:r>
        <w:rPr>
          <w:rFonts w:ascii="Arial" w:hAnsi="Arial" w:cs="Arial"/>
          <w:sz w:val="24"/>
          <w:szCs w:val="24"/>
          <w:lang w:val="es-CL"/>
        </w:rPr>
        <w:t>.</w:t>
      </w:r>
      <w:r w:rsidRPr="00E06C57">
        <w:rPr>
          <w:rFonts w:ascii="Arial" w:hAnsi="Arial" w:cs="Arial"/>
          <w:sz w:val="24"/>
          <w:szCs w:val="24"/>
          <w:lang w:val="es-CL"/>
        </w:rPr>
        <w:t xml:space="preserve"> Sin embargo, estas competencias no siempre son enseñadas de manera explícita, permaneciendo en muchos casos como parte del currícul</w:t>
      </w:r>
      <w:r>
        <w:rPr>
          <w:rFonts w:ascii="Arial" w:hAnsi="Arial" w:cs="Arial"/>
          <w:sz w:val="24"/>
          <w:szCs w:val="24"/>
          <w:lang w:val="es-CL"/>
        </w:rPr>
        <w:t>um</w:t>
      </w:r>
      <w:r w:rsidRPr="00E06C57">
        <w:rPr>
          <w:rFonts w:ascii="Arial" w:hAnsi="Arial" w:cs="Arial"/>
          <w:sz w:val="24"/>
          <w:szCs w:val="24"/>
          <w:lang w:val="es-CL"/>
        </w:rPr>
        <w:t xml:space="preserve"> oculto (Navarro, 2020). </w:t>
      </w:r>
    </w:p>
    <w:p w14:paraId="4E822187" w14:textId="77777777" w:rsidR="00EA50F7" w:rsidRPr="00E06C57" w:rsidRDefault="00EA50F7" w:rsidP="00EA50F7">
      <w:pPr>
        <w:spacing w:line="360" w:lineRule="auto"/>
        <w:jc w:val="both"/>
        <w:rPr>
          <w:rFonts w:ascii="Arial" w:hAnsi="Arial" w:cs="Arial"/>
          <w:sz w:val="24"/>
          <w:szCs w:val="24"/>
          <w:lang w:val="es-CL"/>
        </w:rPr>
      </w:pPr>
      <w:r>
        <w:rPr>
          <w:rFonts w:ascii="Arial" w:hAnsi="Arial" w:cs="Arial"/>
          <w:sz w:val="24"/>
          <w:szCs w:val="24"/>
          <w:lang w:val="es-CL"/>
        </w:rPr>
        <w:t>Dado lo expuesto</w:t>
      </w:r>
      <w:r w:rsidRPr="00E06C57">
        <w:rPr>
          <w:rFonts w:ascii="Arial" w:hAnsi="Arial" w:cs="Arial"/>
          <w:sz w:val="24"/>
          <w:szCs w:val="24"/>
          <w:lang w:val="es-CL"/>
        </w:rPr>
        <w:t xml:space="preserve">, surge la necesidad de </w:t>
      </w:r>
      <w:r>
        <w:rPr>
          <w:rFonts w:ascii="Arial" w:hAnsi="Arial" w:cs="Arial"/>
          <w:sz w:val="24"/>
          <w:szCs w:val="24"/>
          <w:lang w:val="es-CL"/>
        </w:rPr>
        <w:t>implementar propuestas</w:t>
      </w:r>
      <w:r w:rsidRPr="00E06C57">
        <w:rPr>
          <w:rFonts w:ascii="Arial" w:hAnsi="Arial" w:cs="Arial"/>
          <w:sz w:val="24"/>
          <w:szCs w:val="24"/>
          <w:lang w:val="es-CL"/>
        </w:rPr>
        <w:t xml:space="preserve"> formativ</w:t>
      </w:r>
      <w:r>
        <w:rPr>
          <w:rFonts w:ascii="Arial" w:hAnsi="Arial" w:cs="Arial"/>
          <w:sz w:val="24"/>
          <w:szCs w:val="24"/>
          <w:lang w:val="es-CL"/>
        </w:rPr>
        <w:t>a</w:t>
      </w:r>
      <w:r w:rsidRPr="00E06C57">
        <w:rPr>
          <w:rFonts w:ascii="Arial" w:hAnsi="Arial" w:cs="Arial"/>
          <w:sz w:val="24"/>
          <w:szCs w:val="24"/>
          <w:lang w:val="es-CL"/>
        </w:rPr>
        <w:t xml:space="preserve">s que </w:t>
      </w:r>
      <w:r>
        <w:rPr>
          <w:rFonts w:ascii="Arial" w:hAnsi="Arial" w:cs="Arial"/>
          <w:sz w:val="24"/>
          <w:szCs w:val="24"/>
          <w:lang w:val="es-CL"/>
        </w:rPr>
        <w:t>aborden</w:t>
      </w:r>
      <w:r w:rsidRPr="00E06C57">
        <w:rPr>
          <w:rFonts w:ascii="Arial" w:hAnsi="Arial" w:cs="Arial"/>
          <w:sz w:val="24"/>
          <w:szCs w:val="24"/>
          <w:lang w:val="es-CL"/>
        </w:rPr>
        <w:t xml:space="preserve"> el desarrollo de </w:t>
      </w:r>
      <w:r>
        <w:rPr>
          <w:rFonts w:ascii="Arial" w:hAnsi="Arial" w:cs="Arial"/>
          <w:sz w:val="24"/>
          <w:szCs w:val="24"/>
          <w:lang w:val="es-CL"/>
        </w:rPr>
        <w:t>las destrezas mencionadas. Por consiguiente, e</w:t>
      </w:r>
      <w:r w:rsidRPr="00E06C57">
        <w:rPr>
          <w:rFonts w:ascii="Arial" w:hAnsi="Arial" w:cs="Arial"/>
          <w:sz w:val="24"/>
          <w:szCs w:val="24"/>
          <w:lang w:val="es-CL"/>
        </w:rPr>
        <w:t xml:space="preserve">l presente trabajo tiene como objetivo </w:t>
      </w:r>
      <w:r>
        <w:rPr>
          <w:rFonts w:ascii="Arial" w:hAnsi="Arial" w:cs="Arial"/>
          <w:sz w:val="24"/>
          <w:szCs w:val="24"/>
          <w:lang w:val="es-CL"/>
        </w:rPr>
        <w:t>analizar</w:t>
      </w:r>
      <w:r w:rsidRPr="00E06C57">
        <w:rPr>
          <w:rFonts w:ascii="Arial" w:hAnsi="Arial" w:cs="Arial"/>
          <w:sz w:val="24"/>
          <w:szCs w:val="24"/>
          <w:lang w:val="es-CL"/>
        </w:rPr>
        <w:t xml:space="preserve"> un modelo integrado de desarrollo de competencias de comunicación y pensamiento en la educación superior, que articula cursos </w:t>
      </w:r>
      <w:r>
        <w:rPr>
          <w:rFonts w:ascii="Arial" w:hAnsi="Arial" w:cs="Arial"/>
          <w:sz w:val="24"/>
          <w:szCs w:val="24"/>
          <w:lang w:val="es-CL"/>
        </w:rPr>
        <w:t>transversales en primer año</w:t>
      </w:r>
      <w:r w:rsidRPr="003511CF">
        <w:rPr>
          <w:rFonts w:ascii="Arial" w:hAnsi="Arial" w:cs="Arial"/>
          <w:sz w:val="24"/>
          <w:szCs w:val="24"/>
          <w:lang w:val="es-CL"/>
        </w:rPr>
        <w:t xml:space="preserve"> e </w:t>
      </w:r>
      <w:r>
        <w:rPr>
          <w:rFonts w:ascii="Arial" w:hAnsi="Arial" w:cs="Arial"/>
          <w:sz w:val="24"/>
          <w:szCs w:val="24"/>
          <w:lang w:val="es-CL"/>
        </w:rPr>
        <w:t>intervenciones a través del currículum en diferentes ciclos formativos</w:t>
      </w:r>
      <w:r w:rsidRPr="00E06C57">
        <w:rPr>
          <w:rFonts w:ascii="Arial" w:hAnsi="Arial" w:cs="Arial"/>
          <w:sz w:val="24"/>
          <w:szCs w:val="24"/>
          <w:lang w:val="es-CL"/>
        </w:rPr>
        <w:t>.</w:t>
      </w:r>
      <w:r>
        <w:rPr>
          <w:rFonts w:ascii="Arial" w:hAnsi="Arial" w:cs="Arial"/>
          <w:sz w:val="24"/>
          <w:szCs w:val="24"/>
          <w:lang w:val="es-CL"/>
        </w:rPr>
        <w:t xml:space="preserve"> En otras palabras, e</w:t>
      </w:r>
      <w:r w:rsidRPr="00E06C57">
        <w:rPr>
          <w:rFonts w:ascii="Arial" w:hAnsi="Arial" w:cs="Arial"/>
          <w:sz w:val="24"/>
          <w:szCs w:val="24"/>
          <w:lang w:val="es-CL"/>
        </w:rPr>
        <w:t>l diseño del programa se estructura en</w:t>
      </w:r>
      <w:r>
        <w:rPr>
          <w:rFonts w:ascii="Arial" w:hAnsi="Arial" w:cs="Arial"/>
          <w:sz w:val="24"/>
          <w:szCs w:val="24"/>
          <w:lang w:val="es-CL"/>
        </w:rPr>
        <w:t xml:space="preserve"> torno a</w:t>
      </w:r>
      <w:r w:rsidRPr="00E06C57">
        <w:rPr>
          <w:rFonts w:ascii="Arial" w:hAnsi="Arial" w:cs="Arial"/>
          <w:sz w:val="24"/>
          <w:szCs w:val="24"/>
          <w:lang w:val="es-CL"/>
        </w:rPr>
        <w:t xml:space="preserve"> dos componentes principales:</w:t>
      </w:r>
    </w:p>
    <w:p w14:paraId="714D0E95" w14:textId="77777777" w:rsidR="00EA50F7" w:rsidRPr="00E06C57" w:rsidRDefault="00EA50F7" w:rsidP="00EA50F7">
      <w:pPr>
        <w:numPr>
          <w:ilvl w:val="0"/>
          <w:numId w:val="10"/>
        </w:numPr>
        <w:spacing w:line="360" w:lineRule="auto"/>
        <w:jc w:val="both"/>
        <w:rPr>
          <w:rFonts w:ascii="Arial" w:hAnsi="Arial" w:cs="Arial"/>
          <w:sz w:val="24"/>
          <w:szCs w:val="24"/>
          <w:lang w:val="es-CL"/>
        </w:rPr>
      </w:pPr>
      <w:r w:rsidRPr="007E7E9D">
        <w:rPr>
          <w:rFonts w:ascii="Arial" w:hAnsi="Arial" w:cs="Arial"/>
          <w:sz w:val="24"/>
          <w:szCs w:val="24"/>
          <w:lang w:val="es-CL"/>
        </w:rPr>
        <w:t xml:space="preserve">Componente 1: </w:t>
      </w:r>
      <w:r>
        <w:rPr>
          <w:rFonts w:ascii="Arial" w:hAnsi="Arial" w:cs="Arial"/>
          <w:sz w:val="24"/>
          <w:szCs w:val="24"/>
          <w:lang w:val="es-CL"/>
        </w:rPr>
        <w:t>asignaturas</w:t>
      </w:r>
      <w:r w:rsidRPr="00E06C57">
        <w:rPr>
          <w:rFonts w:ascii="Arial" w:hAnsi="Arial" w:cs="Arial"/>
          <w:sz w:val="24"/>
          <w:szCs w:val="24"/>
          <w:lang w:val="es-CL"/>
        </w:rPr>
        <w:t xml:space="preserve"> </w:t>
      </w:r>
      <w:r w:rsidRPr="007E7E9D">
        <w:rPr>
          <w:rFonts w:ascii="Arial" w:hAnsi="Arial" w:cs="Arial"/>
          <w:sz w:val="24"/>
          <w:szCs w:val="24"/>
          <w:lang w:val="es-CL"/>
        </w:rPr>
        <w:t>transversales de primer año</w:t>
      </w:r>
      <w:r>
        <w:rPr>
          <w:rFonts w:ascii="Arial" w:hAnsi="Arial" w:cs="Arial"/>
          <w:b/>
          <w:bCs/>
          <w:sz w:val="24"/>
          <w:szCs w:val="24"/>
          <w:lang w:val="es-CL"/>
        </w:rPr>
        <w:t xml:space="preserve"> </w:t>
      </w:r>
      <w:r w:rsidRPr="00E06C57">
        <w:rPr>
          <w:rFonts w:ascii="Arial" w:hAnsi="Arial" w:cs="Arial"/>
          <w:sz w:val="24"/>
          <w:szCs w:val="24"/>
          <w:lang w:val="es-CL"/>
        </w:rPr>
        <w:t xml:space="preserve">en modalidad taller, que abordan </w:t>
      </w:r>
      <w:r>
        <w:rPr>
          <w:rFonts w:ascii="Arial" w:hAnsi="Arial" w:cs="Arial"/>
          <w:sz w:val="24"/>
          <w:szCs w:val="24"/>
          <w:lang w:val="es-CL"/>
        </w:rPr>
        <w:t xml:space="preserve">las destrezas de </w:t>
      </w:r>
      <w:r w:rsidRPr="00E06C57">
        <w:rPr>
          <w:rFonts w:ascii="Arial" w:hAnsi="Arial" w:cs="Arial"/>
          <w:sz w:val="24"/>
          <w:szCs w:val="24"/>
          <w:lang w:val="es-CL"/>
        </w:rPr>
        <w:t>comunicación escrita</w:t>
      </w:r>
      <w:r>
        <w:rPr>
          <w:rFonts w:ascii="Arial" w:hAnsi="Arial" w:cs="Arial"/>
          <w:sz w:val="24"/>
          <w:szCs w:val="24"/>
          <w:lang w:val="es-CL"/>
        </w:rPr>
        <w:t xml:space="preserve"> y </w:t>
      </w:r>
      <w:r w:rsidRPr="00E06C57">
        <w:rPr>
          <w:rFonts w:ascii="Arial" w:hAnsi="Arial" w:cs="Arial"/>
          <w:sz w:val="24"/>
          <w:szCs w:val="24"/>
          <w:lang w:val="es-CL"/>
        </w:rPr>
        <w:t>oral</w:t>
      </w:r>
      <w:r>
        <w:rPr>
          <w:rFonts w:ascii="Arial" w:hAnsi="Arial" w:cs="Arial"/>
          <w:sz w:val="24"/>
          <w:szCs w:val="24"/>
          <w:lang w:val="es-CL"/>
        </w:rPr>
        <w:t>, así como</w:t>
      </w:r>
      <w:r w:rsidRPr="00E06C57">
        <w:rPr>
          <w:rFonts w:ascii="Arial" w:hAnsi="Arial" w:cs="Arial"/>
          <w:sz w:val="24"/>
          <w:szCs w:val="24"/>
          <w:lang w:val="es-CL"/>
        </w:rPr>
        <w:t xml:space="preserve"> </w:t>
      </w:r>
      <w:r>
        <w:rPr>
          <w:rFonts w:ascii="Arial" w:hAnsi="Arial" w:cs="Arial"/>
          <w:sz w:val="24"/>
          <w:szCs w:val="24"/>
          <w:lang w:val="es-CL"/>
        </w:rPr>
        <w:t xml:space="preserve">de </w:t>
      </w:r>
      <w:r w:rsidRPr="00E06C57">
        <w:rPr>
          <w:rFonts w:ascii="Arial" w:hAnsi="Arial" w:cs="Arial"/>
          <w:sz w:val="24"/>
          <w:szCs w:val="24"/>
          <w:lang w:val="es-CL"/>
        </w:rPr>
        <w:t xml:space="preserve">lectura y pensamiento crítico. </w:t>
      </w:r>
    </w:p>
    <w:p w14:paraId="34356277" w14:textId="14D2529B" w:rsidR="00EA50F7" w:rsidRPr="00E06C57" w:rsidRDefault="00EA50F7" w:rsidP="00EA50F7">
      <w:pPr>
        <w:numPr>
          <w:ilvl w:val="0"/>
          <w:numId w:val="10"/>
        </w:numPr>
        <w:spacing w:line="360" w:lineRule="auto"/>
        <w:jc w:val="both"/>
        <w:rPr>
          <w:rFonts w:ascii="Arial" w:hAnsi="Arial" w:cs="Arial"/>
          <w:sz w:val="24"/>
          <w:szCs w:val="24"/>
          <w:lang w:val="es-CL"/>
        </w:rPr>
      </w:pPr>
      <w:r w:rsidRPr="007E7E9D">
        <w:rPr>
          <w:rFonts w:ascii="Arial" w:hAnsi="Arial" w:cs="Arial"/>
          <w:sz w:val="24"/>
          <w:szCs w:val="24"/>
          <w:lang w:val="es-CL"/>
        </w:rPr>
        <w:t>Componente 2: i</w:t>
      </w:r>
      <w:r w:rsidRPr="00E06C57">
        <w:rPr>
          <w:rFonts w:ascii="Arial" w:hAnsi="Arial" w:cs="Arial"/>
          <w:sz w:val="24"/>
          <w:szCs w:val="24"/>
          <w:lang w:val="es-CL"/>
        </w:rPr>
        <w:t xml:space="preserve">ntegración a través del </w:t>
      </w:r>
      <w:r w:rsidRPr="007E7E9D">
        <w:rPr>
          <w:rFonts w:ascii="Arial" w:hAnsi="Arial" w:cs="Arial"/>
          <w:sz w:val="24"/>
          <w:szCs w:val="24"/>
          <w:lang w:val="es-CL"/>
        </w:rPr>
        <w:t>currículum</w:t>
      </w:r>
      <w:r>
        <w:rPr>
          <w:rFonts w:ascii="Arial" w:hAnsi="Arial" w:cs="Arial"/>
          <w:b/>
          <w:bCs/>
          <w:sz w:val="24"/>
          <w:szCs w:val="24"/>
          <w:lang w:val="es-CL"/>
        </w:rPr>
        <w:t xml:space="preserve"> </w:t>
      </w:r>
      <w:r w:rsidRPr="007E7E9D">
        <w:rPr>
          <w:rFonts w:ascii="Arial" w:hAnsi="Arial" w:cs="Arial"/>
          <w:sz w:val="24"/>
          <w:szCs w:val="24"/>
          <w:lang w:val="es-CL"/>
        </w:rPr>
        <w:t xml:space="preserve">de la enseñanza de la comunicación y del pensamiento, </w:t>
      </w:r>
      <w:r>
        <w:rPr>
          <w:rFonts w:ascii="Arial" w:hAnsi="Arial" w:cs="Arial"/>
          <w:sz w:val="24"/>
          <w:szCs w:val="24"/>
          <w:lang w:val="es-CL"/>
        </w:rPr>
        <w:t xml:space="preserve">mediante la capacitación a profesores. El </w:t>
      </w:r>
      <w:r w:rsidRPr="007E7E9D">
        <w:rPr>
          <w:rFonts w:ascii="Arial" w:hAnsi="Arial" w:cs="Arial"/>
          <w:sz w:val="24"/>
          <w:szCs w:val="24"/>
          <w:lang w:val="es-CL"/>
        </w:rPr>
        <w:t xml:space="preserve">proceso se estructura </w:t>
      </w:r>
      <w:r w:rsidRPr="00E06C57">
        <w:rPr>
          <w:rFonts w:ascii="Arial" w:hAnsi="Arial" w:cs="Arial"/>
          <w:sz w:val="24"/>
          <w:szCs w:val="24"/>
          <w:lang w:val="es-CL"/>
        </w:rPr>
        <w:t xml:space="preserve">en tres fases: </w:t>
      </w:r>
    </w:p>
    <w:p w14:paraId="7F0F3E47" w14:textId="77777777" w:rsidR="00EA50F7" w:rsidRPr="00E06C57" w:rsidRDefault="00EA50F7" w:rsidP="00EA50F7">
      <w:pPr>
        <w:numPr>
          <w:ilvl w:val="1"/>
          <w:numId w:val="10"/>
        </w:numPr>
        <w:spacing w:line="360" w:lineRule="auto"/>
        <w:jc w:val="both"/>
        <w:rPr>
          <w:rFonts w:ascii="Arial" w:hAnsi="Arial" w:cs="Arial"/>
          <w:sz w:val="24"/>
          <w:szCs w:val="24"/>
          <w:lang w:val="es-CL"/>
        </w:rPr>
      </w:pPr>
      <w:r w:rsidRPr="00E06C57">
        <w:rPr>
          <w:rFonts w:ascii="Arial" w:hAnsi="Arial" w:cs="Arial"/>
          <w:sz w:val="24"/>
          <w:szCs w:val="24"/>
          <w:lang w:val="es-CL"/>
        </w:rPr>
        <w:t xml:space="preserve">Diagnóstico: </w:t>
      </w:r>
      <w:r w:rsidRPr="007E7E9D">
        <w:rPr>
          <w:rFonts w:ascii="Arial" w:hAnsi="Arial" w:cs="Arial"/>
          <w:sz w:val="24"/>
          <w:szCs w:val="24"/>
          <w:lang w:val="es-CL"/>
        </w:rPr>
        <w:t xml:space="preserve">que implica la </w:t>
      </w:r>
      <w:r w:rsidRPr="00E06C57">
        <w:rPr>
          <w:rFonts w:ascii="Arial" w:hAnsi="Arial" w:cs="Arial"/>
          <w:sz w:val="24"/>
          <w:szCs w:val="24"/>
          <w:lang w:val="es-CL"/>
        </w:rPr>
        <w:t xml:space="preserve">revisión </w:t>
      </w:r>
      <w:r w:rsidRPr="007E7E9D">
        <w:rPr>
          <w:rFonts w:ascii="Arial" w:hAnsi="Arial" w:cs="Arial"/>
          <w:sz w:val="24"/>
          <w:szCs w:val="24"/>
          <w:lang w:val="es-CL"/>
        </w:rPr>
        <w:t>curricular, así como</w:t>
      </w:r>
      <w:r w:rsidRPr="00E06C57">
        <w:rPr>
          <w:rFonts w:ascii="Arial" w:hAnsi="Arial" w:cs="Arial"/>
          <w:sz w:val="24"/>
          <w:szCs w:val="24"/>
          <w:lang w:val="es-CL"/>
        </w:rPr>
        <w:t xml:space="preserve"> entrevistas a actores clave </w:t>
      </w:r>
      <w:r w:rsidRPr="007E7E9D">
        <w:rPr>
          <w:rFonts w:ascii="Arial" w:hAnsi="Arial" w:cs="Arial"/>
          <w:sz w:val="24"/>
          <w:szCs w:val="24"/>
          <w:lang w:val="es-CL"/>
        </w:rPr>
        <w:t>con miras a identificar puntos crítico</w:t>
      </w:r>
      <w:r>
        <w:rPr>
          <w:rFonts w:ascii="Arial" w:hAnsi="Arial" w:cs="Arial"/>
          <w:sz w:val="24"/>
          <w:szCs w:val="24"/>
          <w:lang w:val="es-CL"/>
        </w:rPr>
        <w:t>s</w:t>
      </w:r>
      <w:r w:rsidRPr="007E7E9D">
        <w:rPr>
          <w:rFonts w:ascii="Arial" w:hAnsi="Arial" w:cs="Arial"/>
          <w:sz w:val="24"/>
          <w:szCs w:val="24"/>
          <w:lang w:val="es-CL"/>
        </w:rPr>
        <w:t xml:space="preserve"> vinculados con el proceso de enseñanza-aprendizaje de las competencias. </w:t>
      </w:r>
    </w:p>
    <w:p w14:paraId="06D51BD6" w14:textId="77777777" w:rsidR="00EA50F7" w:rsidRPr="00E06C57" w:rsidRDefault="00EA50F7" w:rsidP="00EA50F7">
      <w:pPr>
        <w:numPr>
          <w:ilvl w:val="1"/>
          <w:numId w:val="10"/>
        </w:numPr>
        <w:spacing w:line="360" w:lineRule="auto"/>
        <w:jc w:val="both"/>
        <w:rPr>
          <w:rFonts w:ascii="Arial" w:hAnsi="Arial" w:cs="Arial"/>
          <w:sz w:val="24"/>
          <w:szCs w:val="24"/>
          <w:lang w:val="es-CL"/>
        </w:rPr>
      </w:pPr>
      <w:r w:rsidRPr="00E06C57">
        <w:rPr>
          <w:rFonts w:ascii="Arial" w:hAnsi="Arial" w:cs="Arial"/>
          <w:sz w:val="24"/>
          <w:szCs w:val="24"/>
          <w:lang w:val="es-CL"/>
        </w:rPr>
        <w:lastRenderedPageBreak/>
        <w:t xml:space="preserve">Implementación: </w:t>
      </w:r>
      <w:r w:rsidRPr="007E7E9D">
        <w:rPr>
          <w:rFonts w:ascii="Arial" w:hAnsi="Arial" w:cs="Arial"/>
          <w:sz w:val="24"/>
          <w:szCs w:val="24"/>
          <w:lang w:val="es-CL"/>
        </w:rPr>
        <w:t xml:space="preserve">supone </w:t>
      </w:r>
      <w:r>
        <w:rPr>
          <w:rFonts w:ascii="Arial" w:hAnsi="Arial" w:cs="Arial"/>
          <w:sz w:val="24"/>
          <w:szCs w:val="24"/>
          <w:lang w:val="es-CL"/>
        </w:rPr>
        <w:t xml:space="preserve">un </w:t>
      </w:r>
      <w:r w:rsidRPr="00E06C57">
        <w:rPr>
          <w:rFonts w:ascii="Arial" w:hAnsi="Arial" w:cs="Arial"/>
          <w:sz w:val="24"/>
          <w:szCs w:val="24"/>
          <w:lang w:val="es-CL"/>
        </w:rPr>
        <w:t>trabajo colaborativo con docentes</w:t>
      </w:r>
      <w:r w:rsidRPr="007E7E9D">
        <w:rPr>
          <w:rFonts w:ascii="Arial" w:hAnsi="Arial" w:cs="Arial"/>
          <w:sz w:val="24"/>
          <w:szCs w:val="24"/>
          <w:lang w:val="es-CL"/>
        </w:rPr>
        <w:t xml:space="preserve"> disciplinares</w:t>
      </w:r>
      <w:r w:rsidRPr="00E06C57">
        <w:rPr>
          <w:rFonts w:ascii="Arial" w:hAnsi="Arial" w:cs="Arial"/>
          <w:sz w:val="24"/>
          <w:szCs w:val="24"/>
          <w:lang w:val="es-CL"/>
        </w:rPr>
        <w:t xml:space="preserve">, </w:t>
      </w:r>
      <w:r w:rsidRPr="007E7E9D">
        <w:rPr>
          <w:rFonts w:ascii="Arial" w:hAnsi="Arial" w:cs="Arial"/>
          <w:sz w:val="24"/>
          <w:szCs w:val="24"/>
          <w:lang w:val="es-CL"/>
        </w:rPr>
        <w:t xml:space="preserve">mediante </w:t>
      </w:r>
      <w:r>
        <w:rPr>
          <w:rFonts w:ascii="Arial" w:hAnsi="Arial" w:cs="Arial"/>
          <w:sz w:val="24"/>
          <w:szCs w:val="24"/>
          <w:lang w:val="es-CL"/>
        </w:rPr>
        <w:t xml:space="preserve">talleres de capacitación, </w:t>
      </w:r>
      <w:r w:rsidRPr="00E06C57">
        <w:rPr>
          <w:rFonts w:ascii="Arial" w:hAnsi="Arial" w:cs="Arial"/>
          <w:sz w:val="24"/>
          <w:szCs w:val="24"/>
          <w:lang w:val="es-CL"/>
        </w:rPr>
        <w:t>mentorías</w:t>
      </w:r>
      <w:r w:rsidRPr="007E7E9D">
        <w:rPr>
          <w:rFonts w:ascii="Arial" w:hAnsi="Arial" w:cs="Arial"/>
          <w:sz w:val="24"/>
          <w:szCs w:val="24"/>
          <w:lang w:val="es-CL"/>
        </w:rPr>
        <w:t xml:space="preserve"> </w:t>
      </w:r>
      <w:r>
        <w:rPr>
          <w:rFonts w:ascii="Arial" w:hAnsi="Arial" w:cs="Arial"/>
          <w:sz w:val="24"/>
          <w:szCs w:val="24"/>
          <w:lang w:val="es-CL"/>
        </w:rPr>
        <w:t xml:space="preserve">y </w:t>
      </w:r>
      <w:r w:rsidRPr="00E06C57">
        <w:rPr>
          <w:rFonts w:ascii="Arial" w:hAnsi="Arial" w:cs="Arial"/>
          <w:sz w:val="24"/>
          <w:szCs w:val="24"/>
          <w:lang w:val="es-CL"/>
        </w:rPr>
        <w:t xml:space="preserve">diseño de recursos pedagógicos. </w:t>
      </w:r>
    </w:p>
    <w:p w14:paraId="3899A5E7" w14:textId="77777777" w:rsidR="00EA50F7" w:rsidRPr="00E06C57" w:rsidRDefault="00EA50F7" w:rsidP="00EA50F7">
      <w:pPr>
        <w:numPr>
          <w:ilvl w:val="1"/>
          <w:numId w:val="10"/>
        </w:numPr>
        <w:spacing w:line="360" w:lineRule="auto"/>
        <w:jc w:val="both"/>
        <w:rPr>
          <w:rFonts w:ascii="Arial" w:hAnsi="Arial" w:cs="Arial"/>
          <w:sz w:val="24"/>
          <w:szCs w:val="24"/>
          <w:lang w:val="es-CL"/>
        </w:rPr>
      </w:pPr>
      <w:r w:rsidRPr="00E06C57">
        <w:rPr>
          <w:rFonts w:ascii="Arial" w:hAnsi="Arial" w:cs="Arial"/>
          <w:sz w:val="24"/>
          <w:szCs w:val="24"/>
          <w:lang w:val="es-CL"/>
        </w:rPr>
        <w:t xml:space="preserve">Evaluación y profundización: </w:t>
      </w:r>
      <w:r w:rsidRPr="007E7E9D">
        <w:rPr>
          <w:rFonts w:ascii="Arial" w:hAnsi="Arial" w:cs="Arial"/>
          <w:sz w:val="24"/>
          <w:szCs w:val="24"/>
          <w:lang w:val="es-CL"/>
        </w:rPr>
        <w:t>Se bas</w:t>
      </w:r>
      <w:r>
        <w:rPr>
          <w:rFonts w:ascii="Arial" w:hAnsi="Arial" w:cs="Arial"/>
          <w:sz w:val="24"/>
          <w:szCs w:val="24"/>
          <w:lang w:val="es-CL"/>
        </w:rPr>
        <w:t>a</w:t>
      </w:r>
      <w:r w:rsidRPr="007E7E9D">
        <w:rPr>
          <w:rFonts w:ascii="Arial" w:hAnsi="Arial" w:cs="Arial"/>
          <w:sz w:val="24"/>
          <w:szCs w:val="24"/>
          <w:lang w:val="es-CL"/>
        </w:rPr>
        <w:t xml:space="preserve"> en el </w:t>
      </w:r>
      <w:r w:rsidRPr="00E06C57">
        <w:rPr>
          <w:rFonts w:ascii="Arial" w:hAnsi="Arial" w:cs="Arial"/>
          <w:sz w:val="24"/>
          <w:szCs w:val="24"/>
          <w:lang w:val="es-CL"/>
        </w:rPr>
        <w:t xml:space="preserve">análisis </w:t>
      </w:r>
      <w:r w:rsidRPr="007E7E9D">
        <w:rPr>
          <w:rFonts w:ascii="Arial" w:hAnsi="Arial" w:cs="Arial"/>
          <w:sz w:val="24"/>
          <w:szCs w:val="24"/>
          <w:lang w:val="es-CL"/>
        </w:rPr>
        <w:t xml:space="preserve">de la implementación </w:t>
      </w:r>
      <w:r>
        <w:rPr>
          <w:rFonts w:ascii="Arial" w:hAnsi="Arial" w:cs="Arial"/>
          <w:sz w:val="24"/>
          <w:szCs w:val="24"/>
          <w:lang w:val="es-CL"/>
        </w:rPr>
        <w:t>con el fin de</w:t>
      </w:r>
      <w:r w:rsidRPr="007E7E9D">
        <w:rPr>
          <w:rFonts w:ascii="Arial" w:hAnsi="Arial" w:cs="Arial"/>
          <w:sz w:val="24"/>
          <w:szCs w:val="24"/>
          <w:lang w:val="es-CL"/>
        </w:rPr>
        <w:t xml:space="preserve"> identificar áreas de mejora y, a partir de ello, redireccionar el proceso que se plantea en términos recursivos. </w:t>
      </w:r>
    </w:p>
    <w:p w14:paraId="797E5B7E" w14:textId="77777777" w:rsidR="00EA50F7" w:rsidRPr="00E06C57" w:rsidRDefault="00EA50F7" w:rsidP="00EA50F7">
      <w:pPr>
        <w:spacing w:line="360" w:lineRule="auto"/>
        <w:jc w:val="both"/>
        <w:rPr>
          <w:rFonts w:ascii="Arial" w:hAnsi="Arial" w:cs="Arial"/>
          <w:b/>
          <w:bCs/>
          <w:sz w:val="24"/>
          <w:szCs w:val="24"/>
          <w:lang w:val="es-CL"/>
        </w:rPr>
      </w:pPr>
      <w:r w:rsidRPr="00E06C57">
        <w:rPr>
          <w:rFonts w:ascii="Arial" w:hAnsi="Arial" w:cs="Arial"/>
          <w:b/>
          <w:bCs/>
          <w:sz w:val="24"/>
          <w:szCs w:val="24"/>
          <w:lang w:val="es-CL"/>
        </w:rPr>
        <w:t>Marco teórico</w:t>
      </w:r>
    </w:p>
    <w:p w14:paraId="7F88E309" w14:textId="77777777" w:rsidR="00EA50F7" w:rsidRPr="00E06C57" w:rsidRDefault="00EA50F7" w:rsidP="00EA50F7">
      <w:pPr>
        <w:spacing w:line="360" w:lineRule="auto"/>
        <w:jc w:val="both"/>
        <w:rPr>
          <w:rFonts w:ascii="Arial" w:hAnsi="Arial" w:cs="Arial"/>
          <w:sz w:val="24"/>
          <w:szCs w:val="24"/>
          <w:lang w:val="es-CL"/>
        </w:rPr>
      </w:pPr>
      <w:r w:rsidRPr="00E06C57">
        <w:rPr>
          <w:rFonts w:ascii="Arial" w:hAnsi="Arial" w:cs="Arial"/>
          <w:sz w:val="24"/>
          <w:szCs w:val="24"/>
          <w:lang w:val="es-CL"/>
        </w:rPr>
        <w:t>La alfabetización académica se entiende como el proceso mediante el cual los estudiantes se incorporan</w:t>
      </w:r>
      <w:r>
        <w:rPr>
          <w:rFonts w:ascii="Arial" w:hAnsi="Arial" w:cs="Arial"/>
          <w:sz w:val="24"/>
          <w:szCs w:val="24"/>
          <w:lang w:val="es-CL"/>
        </w:rPr>
        <w:t xml:space="preserve"> los modos de producir saber y</w:t>
      </w:r>
      <w:r w:rsidRPr="00E06C57">
        <w:rPr>
          <w:rFonts w:ascii="Arial" w:hAnsi="Arial" w:cs="Arial"/>
          <w:sz w:val="24"/>
          <w:szCs w:val="24"/>
          <w:lang w:val="es-CL"/>
        </w:rPr>
        <w:t xml:space="preserve"> a las prácticas discursivas propias de sus disciplinas (Carlino, 2013). En este sentido, la escritura no solo cumple una función comunicativa, sino también epistémica, al permitir la construcción e internalización del conocimiento (Navarro et al., 2019).</w:t>
      </w:r>
    </w:p>
    <w:p w14:paraId="417AD09F" w14:textId="77777777" w:rsidR="00EA50F7" w:rsidRDefault="00EA50F7" w:rsidP="00EA50F7">
      <w:pPr>
        <w:spacing w:line="360" w:lineRule="auto"/>
        <w:jc w:val="both"/>
        <w:rPr>
          <w:rFonts w:ascii="Arial" w:hAnsi="Arial" w:cs="Arial"/>
          <w:sz w:val="24"/>
          <w:szCs w:val="24"/>
          <w:lang w:val="es-CL"/>
        </w:rPr>
      </w:pPr>
      <w:r w:rsidRPr="00E06C57">
        <w:rPr>
          <w:rFonts w:ascii="Arial" w:hAnsi="Arial" w:cs="Arial"/>
          <w:sz w:val="24"/>
          <w:szCs w:val="24"/>
          <w:lang w:val="es-CL"/>
        </w:rPr>
        <w:t xml:space="preserve">Desde el enfoque cognitivo, la escritura se concibe como un proceso complejo que involucra planificación, textualización y revisión (Flower &amp; Hayes, 1980). Complementariamente, el enfoque sociocultural destaca el rol de la mediación </w:t>
      </w:r>
      <w:r w:rsidRPr="003C5E01">
        <w:rPr>
          <w:rFonts w:ascii="Arial" w:hAnsi="Arial" w:cs="Arial"/>
          <w:sz w:val="24"/>
          <w:szCs w:val="24"/>
          <w:lang w:val="es-CL"/>
        </w:rPr>
        <w:t>docente, la</w:t>
      </w:r>
      <w:r w:rsidRPr="00E06C57">
        <w:rPr>
          <w:rFonts w:ascii="Arial" w:hAnsi="Arial" w:cs="Arial"/>
          <w:sz w:val="24"/>
          <w:szCs w:val="24"/>
          <w:lang w:val="es-CL"/>
        </w:rPr>
        <w:t xml:space="preserve"> interacción en la producción de textos (Englert et al., 2006)</w:t>
      </w:r>
      <w:r w:rsidRPr="003C5E01">
        <w:rPr>
          <w:rFonts w:ascii="Arial" w:hAnsi="Arial" w:cs="Arial"/>
          <w:sz w:val="24"/>
          <w:szCs w:val="24"/>
          <w:lang w:val="es-CL"/>
        </w:rPr>
        <w:t xml:space="preserve"> y el</w:t>
      </w:r>
      <w:r>
        <w:rPr>
          <w:rFonts w:ascii="Arial" w:hAnsi="Arial" w:cs="Arial"/>
          <w:sz w:val="24"/>
          <w:szCs w:val="24"/>
          <w:lang w:val="es-CL"/>
        </w:rPr>
        <w:t xml:space="preserve"> contexto de producción. </w:t>
      </w:r>
      <w:r w:rsidRPr="00E06C57">
        <w:rPr>
          <w:rFonts w:ascii="Arial" w:hAnsi="Arial" w:cs="Arial"/>
          <w:sz w:val="24"/>
          <w:szCs w:val="24"/>
          <w:lang w:val="es-CL"/>
        </w:rPr>
        <w:t xml:space="preserve">Por su parte, el pensamiento crítico implica la capacidad de analizar, evaluar y construir argumentos basados en evidencia, promoviendo el tránsito desde la creencia hacia el conocimiento fundamentado (Otero y Herrera, 2016). </w:t>
      </w:r>
    </w:p>
    <w:p w14:paraId="1FA24373" w14:textId="4D0E2896" w:rsidR="00EA50F7" w:rsidRPr="00C70BFD" w:rsidRDefault="00EA50F7" w:rsidP="00EA50F7">
      <w:pPr>
        <w:spacing w:line="360" w:lineRule="auto"/>
        <w:jc w:val="both"/>
        <w:rPr>
          <w:rFonts w:ascii="Arial" w:hAnsi="Arial" w:cs="Arial"/>
          <w:sz w:val="24"/>
          <w:szCs w:val="24"/>
          <w:lang w:val="es-CL"/>
        </w:rPr>
      </w:pPr>
      <w:r w:rsidRPr="00EA50F7">
        <w:rPr>
          <w:rFonts w:ascii="Arial" w:hAnsi="Arial" w:cs="Arial"/>
          <w:sz w:val="24"/>
          <w:szCs w:val="24"/>
          <w:lang w:val="es-CL"/>
        </w:rPr>
        <w:t>Para Skillen et al. (1998</w:t>
      </w:r>
      <w:r w:rsidRPr="00C70BFD">
        <w:rPr>
          <w:rFonts w:ascii="Arial" w:hAnsi="Arial" w:cs="Arial"/>
          <w:sz w:val="24"/>
          <w:szCs w:val="24"/>
          <w:lang w:val="es-CL"/>
        </w:rPr>
        <w:t xml:space="preserve">) la evolución con respecto a la enseñanza de la escritura en el contexto universitario ha pasado por tres estadios. Un primer momento, caracterizado por la ausencia de estrategias de enseñanza, por lo tanto, los estudiantes debían asumir solos el proceso de aprendizaje. Un segundo momento, en el que surgen los centros de escritura y programas focalizados en la enseñanza de la escritura académica con escasa vinculación con las asignaturas disciplinares. Finalmente, un tercer momento en el cual la enseñanza de la competencia se instala a lo largo de todo el trayecto formativo del </w:t>
      </w:r>
      <w:r w:rsidRPr="00C70BFD">
        <w:rPr>
          <w:rFonts w:ascii="Arial" w:hAnsi="Arial" w:cs="Arial"/>
          <w:sz w:val="24"/>
          <w:szCs w:val="24"/>
          <w:lang w:val="es-CL"/>
        </w:rPr>
        <w:lastRenderedPageBreak/>
        <w:t>alumno</w:t>
      </w:r>
      <w:r>
        <w:rPr>
          <w:rFonts w:ascii="Arial" w:hAnsi="Arial" w:cs="Arial"/>
          <w:sz w:val="24"/>
          <w:szCs w:val="24"/>
          <w:lang w:val="es-CL"/>
        </w:rPr>
        <w:t xml:space="preserve">, dando lugar a </w:t>
      </w:r>
      <w:r w:rsidRPr="003F3421">
        <w:rPr>
          <w:rFonts w:ascii="Arial" w:hAnsi="Arial" w:cs="Arial"/>
          <w:sz w:val="24"/>
          <w:szCs w:val="24"/>
          <w:lang w:val="es-CL"/>
        </w:rPr>
        <w:t xml:space="preserve">los movimientos de escritura a través del </w:t>
      </w:r>
      <w:r w:rsidR="001450AE" w:rsidRPr="003F3421">
        <w:rPr>
          <w:rFonts w:ascii="Arial" w:hAnsi="Arial" w:cs="Arial"/>
          <w:sz w:val="24"/>
          <w:szCs w:val="24"/>
          <w:lang w:val="es-CL"/>
        </w:rPr>
        <w:t xml:space="preserve">currículum </w:t>
      </w:r>
      <w:r w:rsidR="001450AE">
        <w:rPr>
          <w:rFonts w:ascii="Arial" w:hAnsi="Arial" w:cs="Arial"/>
          <w:sz w:val="24"/>
          <w:szCs w:val="24"/>
          <w:lang w:val="es-CL"/>
        </w:rPr>
        <w:t>(</w:t>
      </w:r>
      <w:r w:rsidRPr="003C5E01">
        <w:rPr>
          <w:rFonts w:ascii="Arial" w:hAnsi="Arial" w:cs="Arial"/>
          <w:sz w:val="24"/>
          <w:szCs w:val="24"/>
          <w:lang w:val="es-CL"/>
        </w:rPr>
        <w:t>Bazerman, 2005) y escritura</w:t>
      </w:r>
      <w:r w:rsidRPr="003F3421">
        <w:rPr>
          <w:rFonts w:ascii="Arial" w:hAnsi="Arial" w:cs="Arial"/>
          <w:sz w:val="24"/>
          <w:szCs w:val="24"/>
          <w:lang w:val="es-CL"/>
        </w:rPr>
        <w:t xml:space="preserve"> en las disciplinas</w:t>
      </w:r>
      <w:r>
        <w:rPr>
          <w:rFonts w:ascii="Arial" w:hAnsi="Arial" w:cs="Arial"/>
          <w:sz w:val="24"/>
          <w:szCs w:val="24"/>
          <w:lang w:val="es-CL"/>
        </w:rPr>
        <w:t>.</w:t>
      </w:r>
    </w:p>
    <w:p w14:paraId="2F024488" w14:textId="77777777" w:rsidR="00EA50F7" w:rsidRPr="00C70BFD" w:rsidRDefault="00EA50F7" w:rsidP="00EA50F7">
      <w:pPr>
        <w:spacing w:line="360" w:lineRule="auto"/>
        <w:jc w:val="both"/>
        <w:rPr>
          <w:rFonts w:ascii="Arial" w:hAnsi="Arial" w:cs="Arial"/>
          <w:sz w:val="24"/>
          <w:szCs w:val="24"/>
          <w:lang w:val="es-CL"/>
        </w:rPr>
      </w:pPr>
      <w:r w:rsidRPr="00C70BFD">
        <w:rPr>
          <w:rFonts w:ascii="Arial" w:hAnsi="Arial" w:cs="Arial"/>
          <w:sz w:val="24"/>
          <w:szCs w:val="24"/>
          <w:lang w:val="es-CL"/>
        </w:rPr>
        <w:t>Carlino (2013) aboga por una enseñanza en contexto, dado que desde su perspectiva la alfabetización académica no puede limitarse sólo a algunos cursos, sino que debe estar presente en la mayoría de las asignaturas para favorecer la integración</w:t>
      </w:r>
      <w:r>
        <w:rPr>
          <w:rFonts w:ascii="Arial" w:hAnsi="Arial" w:cs="Arial"/>
          <w:sz w:val="24"/>
          <w:szCs w:val="24"/>
          <w:lang w:val="es-CL"/>
        </w:rPr>
        <w:t xml:space="preserve"> disciplinar</w:t>
      </w:r>
      <w:r w:rsidRPr="00C70BFD">
        <w:rPr>
          <w:rFonts w:ascii="Arial" w:hAnsi="Arial" w:cs="Arial"/>
          <w:sz w:val="24"/>
          <w:szCs w:val="24"/>
          <w:lang w:val="es-CL"/>
        </w:rPr>
        <w:t>. Con respecto a los talleres de lectura y escritura establece una suerte de tipología diferenciando entre los remediales, construidos en torno a habilidades básicas de la escritura y los que apuntan a una práctica integral, que se centran en generar los apoyos necesarios para que los estudiantes adquieran las habilidades para redactar los textos propuestos en el propio curs</w:t>
      </w:r>
      <w:r>
        <w:rPr>
          <w:rFonts w:ascii="Arial" w:hAnsi="Arial" w:cs="Arial"/>
          <w:sz w:val="24"/>
          <w:szCs w:val="24"/>
          <w:lang w:val="es-CL"/>
        </w:rPr>
        <w:t>o</w:t>
      </w:r>
      <w:r w:rsidRPr="00C70BFD">
        <w:rPr>
          <w:rFonts w:ascii="Arial" w:hAnsi="Arial" w:cs="Arial"/>
          <w:sz w:val="24"/>
          <w:szCs w:val="24"/>
          <w:lang w:val="es-CL"/>
        </w:rPr>
        <w:t xml:space="preserve">. </w:t>
      </w:r>
    </w:p>
    <w:p w14:paraId="050BE043" w14:textId="77777777" w:rsidR="00EA50F7" w:rsidRDefault="00EA50F7" w:rsidP="00EA50F7">
      <w:pPr>
        <w:spacing w:line="360" w:lineRule="auto"/>
        <w:jc w:val="both"/>
        <w:rPr>
          <w:rFonts w:ascii="Arial" w:hAnsi="Arial" w:cs="Arial"/>
          <w:sz w:val="24"/>
          <w:szCs w:val="24"/>
          <w:lang w:val="es-CL"/>
        </w:rPr>
      </w:pPr>
      <w:r>
        <w:rPr>
          <w:rFonts w:ascii="Arial" w:hAnsi="Arial" w:cs="Arial"/>
          <w:sz w:val="24"/>
          <w:szCs w:val="24"/>
          <w:lang w:val="es-CL"/>
        </w:rPr>
        <w:t xml:space="preserve">Para </w:t>
      </w:r>
      <w:r w:rsidRPr="00D5368E">
        <w:rPr>
          <w:rFonts w:ascii="Arial" w:hAnsi="Arial" w:cs="Arial"/>
          <w:sz w:val="24"/>
          <w:szCs w:val="24"/>
          <w:lang w:val="es-CL"/>
        </w:rPr>
        <w:t>Russell (2013), la perspectiva</w:t>
      </w:r>
      <w:r w:rsidRPr="00C70BFD">
        <w:rPr>
          <w:rFonts w:ascii="Arial" w:hAnsi="Arial" w:cs="Arial"/>
          <w:sz w:val="24"/>
          <w:szCs w:val="24"/>
          <w:lang w:val="es-CL"/>
        </w:rPr>
        <w:t xml:space="preserve"> transversal (cursos específicos de escritura) y especializada (enseñanza en cursos disciplinares), no son opuestas, sino que se complementan, en el sentido que los cursos transversales permiten fortalecer la competencia de escritura antes que los estudiantes interactúen con géneros disciplinares más específicos </w:t>
      </w:r>
      <w:r w:rsidRPr="00D5368E">
        <w:rPr>
          <w:rFonts w:ascii="Arial" w:hAnsi="Arial" w:cs="Arial"/>
          <w:sz w:val="24"/>
          <w:szCs w:val="24"/>
          <w:lang w:val="es-CL"/>
        </w:rPr>
        <w:t>(Torres Perdigón, 2017).</w:t>
      </w:r>
    </w:p>
    <w:p w14:paraId="33A72F6D" w14:textId="546CFF4D" w:rsidR="00EA50F7" w:rsidRPr="003F3421" w:rsidRDefault="00EA50F7" w:rsidP="00EA50F7">
      <w:pPr>
        <w:spacing w:line="360" w:lineRule="auto"/>
        <w:jc w:val="both"/>
        <w:rPr>
          <w:rFonts w:ascii="Arial" w:hAnsi="Arial" w:cs="Arial"/>
          <w:sz w:val="24"/>
          <w:szCs w:val="24"/>
          <w:lang w:val="es-CL"/>
        </w:rPr>
      </w:pPr>
      <w:r>
        <w:rPr>
          <w:rFonts w:ascii="Arial" w:hAnsi="Arial" w:cs="Arial"/>
          <w:sz w:val="24"/>
          <w:szCs w:val="24"/>
          <w:lang w:val="es-CL"/>
        </w:rPr>
        <w:t xml:space="preserve">Con base en lo expuesto, cabe destacar que la experiencia presentada buscó conjugar estas líneas de trabajo (cursos transversales y enseñanza especializada), a lo que suma una concepción ampliada de la alfabetización académica en el sentido de que se intencionó, además de las competencias comunicativas, un modelo centrado en el desarrollo del pensamiento crítico. </w:t>
      </w:r>
    </w:p>
    <w:p w14:paraId="2FD32E35" w14:textId="77777777" w:rsidR="00EA50F7" w:rsidRPr="00E06C57" w:rsidRDefault="00EA50F7" w:rsidP="00EA50F7">
      <w:pPr>
        <w:spacing w:line="360" w:lineRule="auto"/>
        <w:jc w:val="both"/>
        <w:rPr>
          <w:rFonts w:ascii="Arial" w:hAnsi="Arial" w:cs="Arial"/>
          <w:sz w:val="24"/>
          <w:szCs w:val="24"/>
          <w:lang w:val="es-CL"/>
        </w:rPr>
      </w:pPr>
    </w:p>
    <w:p w14:paraId="53A07747" w14:textId="77777777" w:rsidR="00EA50F7" w:rsidRDefault="00EA50F7" w:rsidP="00EA50F7">
      <w:pPr>
        <w:spacing w:line="360" w:lineRule="auto"/>
        <w:jc w:val="both"/>
        <w:rPr>
          <w:rFonts w:ascii="Arial" w:hAnsi="Arial" w:cs="Arial"/>
          <w:b/>
          <w:bCs/>
          <w:sz w:val="24"/>
          <w:szCs w:val="24"/>
          <w:lang w:val="es-CL"/>
        </w:rPr>
      </w:pPr>
      <w:r w:rsidRPr="00E06C57">
        <w:rPr>
          <w:rFonts w:ascii="Arial" w:hAnsi="Arial" w:cs="Arial"/>
          <w:b/>
          <w:bCs/>
          <w:sz w:val="24"/>
          <w:szCs w:val="24"/>
          <w:lang w:val="es-CL"/>
        </w:rPr>
        <w:t>Metodología</w:t>
      </w:r>
    </w:p>
    <w:p w14:paraId="4E0CB855" w14:textId="66032668" w:rsidR="00EA50F7" w:rsidRDefault="00EA50F7" w:rsidP="00EA50F7">
      <w:pPr>
        <w:spacing w:line="360" w:lineRule="auto"/>
        <w:jc w:val="both"/>
        <w:rPr>
          <w:rFonts w:ascii="Arial" w:hAnsi="Arial" w:cs="Arial"/>
          <w:sz w:val="24"/>
          <w:szCs w:val="24"/>
          <w:lang w:val="es-CL"/>
        </w:rPr>
      </w:pPr>
      <w:r w:rsidRPr="007E7E9D">
        <w:rPr>
          <w:rFonts w:ascii="Arial" w:hAnsi="Arial" w:cs="Arial"/>
          <w:sz w:val="24"/>
          <w:szCs w:val="24"/>
          <w:lang w:val="es-CL"/>
        </w:rPr>
        <w:t xml:space="preserve">Se ha avanzado </w:t>
      </w:r>
      <w:r>
        <w:rPr>
          <w:rFonts w:ascii="Arial" w:hAnsi="Arial" w:cs="Arial"/>
          <w:sz w:val="24"/>
          <w:szCs w:val="24"/>
          <w:lang w:val="es-CL"/>
        </w:rPr>
        <w:t xml:space="preserve">en la evaluación del </w:t>
      </w:r>
      <w:r w:rsidRPr="005E5C9E">
        <w:rPr>
          <w:rFonts w:ascii="Arial" w:hAnsi="Arial" w:cs="Arial"/>
          <w:sz w:val="24"/>
          <w:szCs w:val="24"/>
          <w:lang w:val="es-CL"/>
        </w:rPr>
        <w:t>efecto de</w:t>
      </w:r>
      <w:r>
        <w:rPr>
          <w:rFonts w:ascii="Arial" w:hAnsi="Arial" w:cs="Arial"/>
          <w:sz w:val="24"/>
          <w:szCs w:val="24"/>
          <w:lang w:val="es-CL"/>
        </w:rPr>
        <w:t>l componente 1 (</w:t>
      </w:r>
      <w:r w:rsidRPr="005E5C9E">
        <w:rPr>
          <w:rFonts w:ascii="Arial" w:hAnsi="Arial" w:cs="Arial"/>
          <w:sz w:val="24"/>
          <w:szCs w:val="24"/>
          <w:lang w:val="es-CL"/>
        </w:rPr>
        <w:t xml:space="preserve">cursos transversales </w:t>
      </w:r>
      <w:r>
        <w:rPr>
          <w:rFonts w:ascii="Arial" w:hAnsi="Arial" w:cs="Arial"/>
          <w:sz w:val="24"/>
          <w:szCs w:val="24"/>
          <w:lang w:val="es-CL"/>
        </w:rPr>
        <w:t>de primer año)</w:t>
      </w:r>
      <w:r w:rsidRPr="005E5C9E">
        <w:rPr>
          <w:rFonts w:ascii="Arial" w:hAnsi="Arial" w:cs="Arial"/>
          <w:sz w:val="24"/>
          <w:szCs w:val="24"/>
          <w:lang w:val="es-CL"/>
        </w:rPr>
        <w:t xml:space="preserve">. </w:t>
      </w:r>
      <w:r>
        <w:rPr>
          <w:rFonts w:ascii="Arial" w:hAnsi="Arial" w:cs="Arial"/>
          <w:sz w:val="24"/>
          <w:szCs w:val="24"/>
          <w:lang w:val="es-CL"/>
        </w:rPr>
        <w:t>Para ello s</w:t>
      </w:r>
      <w:r w:rsidRPr="005E5C9E">
        <w:rPr>
          <w:rFonts w:ascii="Arial" w:hAnsi="Arial" w:cs="Arial"/>
          <w:sz w:val="24"/>
          <w:szCs w:val="24"/>
          <w:lang w:val="es-CL"/>
        </w:rPr>
        <w:t>e u</w:t>
      </w:r>
      <w:r>
        <w:rPr>
          <w:rFonts w:ascii="Arial" w:hAnsi="Arial" w:cs="Arial"/>
          <w:sz w:val="24"/>
          <w:szCs w:val="24"/>
          <w:lang w:val="es-CL"/>
        </w:rPr>
        <w:t>tilizó</w:t>
      </w:r>
      <w:r w:rsidRPr="005E5C9E">
        <w:rPr>
          <w:rFonts w:ascii="Arial" w:hAnsi="Arial" w:cs="Arial"/>
          <w:sz w:val="24"/>
          <w:szCs w:val="24"/>
          <w:lang w:val="es-CL"/>
        </w:rPr>
        <w:t xml:space="preserve"> un enfoque cuantitativo</w:t>
      </w:r>
      <w:r>
        <w:rPr>
          <w:rFonts w:ascii="Arial" w:hAnsi="Arial" w:cs="Arial"/>
          <w:sz w:val="24"/>
          <w:szCs w:val="24"/>
          <w:lang w:val="es-CL"/>
        </w:rPr>
        <w:t xml:space="preserve"> con diseño </w:t>
      </w:r>
      <w:r w:rsidRPr="005E5C9E">
        <w:rPr>
          <w:rFonts w:ascii="Arial" w:hAnsi="Arial" w:cs="Arial"/>
          <w:sz w:val="24"/>
          <w:szCs w:val="24"/>
          <w:lang w:val="es-CL"/>
        </w:rPr>
        <w:t>cuasiexperimental</w:t>
      </w:r>
      <w:r w:rsidRPr="006528A7">
        <w:rPr>
          <w:rFonts w:ascii="Arial" w:hAnsi="Arial" w:cs="Arial"/>
          <w:sz w:val="24"/>
          <w:szCs w:val="24"/>
          <w:lang w:val="es-CL"/>
        </w:rPr>
        <w:t xml:space="preserve">, </w:t>
      </w:r>
      <w:r>
        <w:rPr>
          <w:rFonts w:ascii="Arial" w:hAnsi="Arial" w:cs="Arial"/>
          <w:sz w:val="24"/>
          <w:szCs w:val="24"/>
          <w:lang w:val="es-CL"/>
        </w:rPr>
        <w:t xml:space="preserve">con </w:t>
      </w:r>
      <w:r w:rsidRPr="006528A7">
        <w:rPr>
          <w:rFonts w:ascii="Arial" w:hAnsi="Arial" w:cs="Arial"/>
          <w:sz w:val="24"/>
          <w:szCs w:val="24"/>
          <w:lang w:val="es-CL"/>
        </w:rPr>
        <w:t>formato pretest y postest</w:t>
      </w:r>
      <w:r w:rsidRPr="005E5C9E">
        <w:rPr>
          <w:rFonts w:ascii="Arial" w:hAnsi="Arial" w:cs="Arial"/>
          <w:sz w:val="24"/>
          <w:szCs w:val="24"/>
          <w:lang w:val="es-CL"/>
        </w:rPr>
        <w:t xml:space="preserve"> </w:t>
      </w:r>
      <w:r>
        <w:rPr>
          <w:rFonts w:ascii="Arial" w:hAnsi="Arial" w:cs="Arial"/>
          <w:sz w:val="24"/>
          <w:szCs w:val="24"/>
          <w:lang w:val="es-CL"/>
        </w:rPr>
        <w:t xml:space="preserve">con </w:t>
      </w:r>
      <w:r w:rsidRPr="005E5C9E">
        <w:rPr>
          <w:rFonts w:ascii="Arial" w:hAnsi="Arial" w:cs="Arial"/>
          <w:sz w:val="24"/>
          <w:szCs w:val="24"/>
          <w:lang w:val="es-CL"/>
        </w:rPr>
        <w:t xml:space="preserve">una muestra de 475 estudiantes </w:t>
      </w:r>
      <w:r>
        <w:rPr>
          <w:rFonts w:ascii="Arial" w:hAnsi="Arial" w:cs="Arial"/>
          <w:sz w:val="24"/>
          <w:szCs w:val="24"/>
          <w:lang w:val="es-CL"/>
        </w:rPr>
        <w:t>perteneciente</w:t>
      </w:r>
      <w:r w:rsidR="00010423">
        <w:rPr>
          <w:rFonts w:ascii="Arial" w:hAnsi="Arial" w:cs="Arial"/>
          <w:sz w:val="24"/>
          <w:szCs w:val="24"/>
          <w:lang w:val="es-CL"/>
        </w:rPr>
        <w:t>s</w:t>
      </w:r>
      <w:r>
        <w:rPr>
          <w:rFonts w:ascii="Arial" w:hAnsi="Arial" w:cs="Arial"/>
          <w:sz w:val="24"/>
          <w:szCs w:val="24"/>
          <w:lang w:val="es-CL"/>
        </w:rPr>
        <w:t xml:space="preserve"> a</w:t>
      </w:r>
      <w:r w:rsidRPr="005E5C9E">
        <w:rPr>
          <w:rFonts w:ascii="Arial" w:hAnsi="Arial" w:cs="Arial"/>
          <w:sz w:val="24"/>
          <w:szCs w:val="24"/>
          <w:lang w:val="es-CL"/>
        </w:rPr>
        <w:t xml:space="preserve"> carreras de diferentes áreas disciplinares</w:t>
      </w:r>
      <w:r>
        <w:rPr>
          <w:rFonts w:ascii="Arial" w:hAnsi="Arial" w:cs="Arial"/>
          <w:sz w:val="24"/>
          <w:szCs w:val="24"/>
          <w:lang w:val="es-CL"/>
        </w:rPr>
        <w:t>.</w:t>
      </w:r>
      <w:r w:rsidRPr="005E5C9E">
        <w:rPr>
          <w:rFonts w:ascii="Arial" w:hAnsi="Arial" w:cs="Arial"/>
          <w:sz w:val="24"/>
          <w:szCs w:val="24"/>
          <w:lang w:val="es-CL"/>
        </w:rPr>
        <w:t xml:space="preserve"> </w:t>
      </w:r>
    </w:p>
    <w:p w14:paraId="5908710A" w14:textId="77777777" w:rsidR="00EA50F7" w:rsidRPr="002759E7" w:rsidRDefault="00EA50F7" w:rsidP="00EA50F7">
      <w:pPr>
        <w:spacing w:line="360" w:lineRule="auto"/>
        <w:jc w:val="both"/>
        <w:rPr>
          <w:rFonts w:ascii="Arial" w:hAnsi="Arial" w:cs="Arial"/>
          <w:sz w:val="24"/>
          <w:szCs w:val="24"/>
          <w:lang w:val="es-CL"/>
        </w:rPr>
      </w:pPr>
      <w:r>
        <w:rPr>
          <w:rFonts w:ascii="Arial" w:hAnsi="Arial" w:cs="Arial"/>
          <w:sz w:val="24"/>
          <w:szCs w:val="24"/>
          <w:lang w:val="es-CL"/>
        </w:rPr>
        <w:lastRenderedPageBreak/>
        <w:t xml:space="preserve">Con respecto al componente 2 se han efectuado exploraciones de carácter cualitativo de las que han participado los docentes, mentores y directivos implicados en la propuesta de integración a través del currículum. </w:t>
      </w:r>
    </w:p>
    <w:p w14:paraId="33E57682" w14:textId="77777777" w:rsidR="00EA50F7" w:rsidRDefault="00EA50F7" w:rsidP="00EA50F7">
      <w:pPr>
        <w:spacing w:line="360" w:lineRule="auto"/>
        <w:jc w:val="both"/>
        <w:rPr>
          <w:rFonts w:ascii="Arial" w:hAnsi="Arial" w:cs="Arial"/>
          <w:b/>
          <w:bCs/>
          <w:sz w:val="24"/>
          <w:szCs w:val="24"/>
          <w:lang w:val="es-CL"/>
        </w:rPr>
      </w:pPr>
      <w:r w:rsidRPr="00E06C57">
        <w:rPr>
          <w:rFonts w:ascii="Arial" w:hAnsi="Arial" w:cs="Arial"/>
          <w:b/>
          <w:bCs/>
          <w:sz w:val="24"/>
          <w:szCs w:val="24"/>
          <w:lang w:val="es-CL"/>
        </w:rPr>
        <w:t>Resultados</w:t>
      </w:r>
    </w:p>
    <w:p w14:paraId="050025F5" w14:textId="77777777" w:rsidR="00EA50F7" w:rsidRPr="00294270" w:rsidRDefault="00EA50F7" w:rsidP="00EA50F7">
      <w:pPr>
        <w:spacing w:line="360" w:lineRule="auto"/>
        <w:jc w:val="both"/>
        <w:rPr>
          <w:rFonts w:ascii="Arial" w:hAnsi="Arial" w:cs="Arial"/>
          <w:sz w:val="24"/>
          <w:szCs w:val="24"/>
          <w:lang w:val="es-CL"/>
        </w:rPr>
      </w:pPr>
      <w:r>
        <w:rPr>
          <w:rFonts w:ascii="Arial" w:hAnsi="Arial" w:cs="Arial"/>
          <w:sz w:val="24"/>
          <w:szCs w:val="24"/>
          <w:lang w:val="es-CL"/>
        </w:rPr>
        <w:t>Con respecto al componente 1 l</w:t>
      </w:r>
      <w:r w:rsidRPr="00294270">
        <w:rPr>
          <w:rFonts w:ascii="Arial" w:hAnsi="Arial" w:cs="Arial"/>
          <w:sz w:val="24"/>
          <w:szCs w:val="24"/>
          <w:lang w:val="es-CL"/>
        </w:rPr>
        <w:t>os resultados evidencian un</w:t>
      </w:r>
      <w:r>
        <w:rPr>
          <w:rFonts w:ascii="Arial" w:hAnsi="Arial" w:cs="Arial"/>
          <w:sz w:val="24"/>
          <w:szCs w:val="24"/>
          <w:lang w:val="es-CL"/>
        </w:rPr>
        <w:t>a mejora consistente</w:t>
      </w:r>
      <w:r w:rsidRPr="00294270">
        <w:rPr>
          <w:rFonts w:ascii="Arial" w:hAnsi="Arial" w:cs="Arial"/>
          <w:sz w:val="24"/>
          <w:szCs w:val="24"/>
          <w:lang w:val="es-CL"/>
        </w:rPr>
        <w:t xml:space="preserve"> en el desarrollo de habilidades de escritura y pensamiento crítico en </w:t>
      </w:r>
      <w:r>
        <w:rPr>
          <w:rFonts w:ascii="Arial" w:hAnsi="Arial" w:cs="Arial"/>
          <w:sz w:val="24"/>
          <w:szCs w:val="24"/>
          <w:lang w:val="es-CL"/>
        </w:rPr>
        <w:t xml:space="preserve">los </w:t>
      </w:r>
      <w:r w:rsidRPr="00294270">
        <w:rPr>
          <w:rFonts w:ascii="Arial" w:hAnsi="Arial" w:cs="Arial"/>
          <w:sz w:val="24"/>
          <w:szCs w:val="24"/>
          <w:lang w:val="es-CL"/>
        </w:rPr>
        <w:t>estudiantes, particularmente en la capacidad de argumentación. Este avance se observa en la evaluación pretest-postest, lo que sugiere un efecto positivo de la implementación de los cursos</w:t>
      </w:r>
      <w:r>
        <w:rPr>
          <w:rFonts w:ascii="Arial" w:hAnsi="Arial" w:cs="Arial"/>
          <w:sz w:val="24"/>
          <w:szCs w:val="24"/>
          <w:lang w:val="es-CL"/>
        </w:rPr>
        <w:t xml:space="preserve"> transversales</w:t>
      </w:r>
      <w:r w:rsidRPr="00294270">
        <w:rPr>
          <w:rFonts w:ascii="Arial" w:hAnsi="Arial" w:cs="Arial"/>
          <w:sz w:val="24"/>
          <w:szCs w:val="24"/>
          <w:lang w:val="es-CL"/>
        </w:rPr>
        <w:t>.</w:t>
      </w:r>
    </w:p>
    <w:p w14:paraId="38EBAF99" w14:textId="1ABC56B9" w:rsidR="00EA50F7" w:rsidRDefault="00EA50F7" w:rsidP="00EA50F7">
      <w:pPr>
        <w:spacing w:line="360" w:lineRule="auto"/>
        <w:jc w:val="both"/>
        <w:rPr>
          <w:rFonts w:ascii="Arial" w:hAnsi="Arial" w:cs="Arial"/>
          <w:sz w:val="24"/>
          <w:szCs w:val="24"/>
          <w:lang w:val="es-CL"/>
        </w:rPr>
      </w:pPr>
      <w:r w:rsidRPr="00294270">
        <w:rPr>
          <w:rFonts w:ascii="Arial" w:hAnsi="Arial" w:cs="Arial"/>
          <w:sz w:val="24"/>
          <w:szCs w:val="24"/>
          <w:lang w:val="es-CL"/>
        </w:rPr>
        <w:t xml:space="preserve">En relación con el pensamiento crítico, los resultados muestran mejoras en la capacidad de los estudiantes para construir posturas fundamentadas, seleccionar información relevante y articular argumentos basados en evidencia. </w:t>
      </w:r>
    </w:p>
    <w:p w14:paraId="44BC5CD2" w14:textId="77777777" w:rsidR="00EA50F7" w:rsidRDefault="00EA50F7" w:rsidP="00EA50F7">
      <w:pPr>
        <w:spacing w:line="360" w:lineRule="auto"/>
        <w:jc w:val="both"/>
        <w:rPr>
          <w:rFonts w:ascii="Arial" w:hAnsi="Arial" w:cs="Arial"/>
          <w:sz w:val="24"/>
          <w:szCs w:val="24"/>
          <w:lang w:val="es-CL"/>
        </w:rPr>
      </w:pPr>
      <w:r w:rsidRPr="00294270">
        <w:rPr>
          <w:rFonts w:ascii="Arial" w:hAnsi="Arial" w:cs="Arial"/>
          <w:sz w:val="24"/>
          <w:szCs w:val="24"/>
          <w:lang w:val="es-CL"/>
        </w:rPr>
        <w:t>En el análisis por dimensiones de escritura, se identifican mejoras en coherencia y cohesión textual, aunque con resultados desiguales según el tipo de tarea.</w:t>
      </w:r>
      <w:r>
        <w:rPr>
          <w:rFonts w:ascii="Arial" w:hAnsi="Arial" w:cs="Arial"/>
          <w:sz w:val="24"/>
          <w:szCs w:val="24"/>
          <w:lang w:val="es-CL"/>
        </w:rPr>
        <w:t xml:space="preserve"> </w:t>
      </w:r>
      <w:r w:rsidRPr="00294270">
        <w:rPr>
          <w:rFonts w:ascii="Arial" w:hAnsi="Arial" w:cs="Arial"/>
          <w:sz w:val="24"/>
          <w:szCs w:val="24"/>
          <w:lang w:val="es-CL"/>
        </w:rPr>
        <w:t>Asimismo, se observan avances en el uso de la puntuación, aunque de menor magnitud en comparación con otras habilidades, manteniéndose como un aspecto desafiante en la producción escrita.</w:t>
      </w:r>
    </w:p>
    <w:p w14:paraId="0941AEC5" w14:textId="28C437A4" w:rsidR="00EA50F7" w:rsidRPr="00294270" w:rsidRDefault="00EA50F7" w:rsidP="00EA50F7">
      <w:pPr>
        <w:spacing w:line="360" w:lineRule="auto"/>
        <w:jc w:val="both"/>
        <w:rPr>
          <w:rFonts w:ascii="Arial" w:hAnsi="Arial" w:cs="Arial"/>
          <w:sz w:val="24"/>
          <w:szCs w:val="24"/>
          <w:lang w:val="es-CL"/>
        </w:rPr>
      </w:pPr>
      <w:r w:rsidRPr="00294270">
        <w:rPr>
          <w:rFonts w:ascii="Arial" w:hAnsi="Arial" w:cs="Arial"/>
          <w:sz w:val="24"/>
          <w:szCs w:val="24"/>
          <w:lang w:val="es-CL"/>
        </w:rPr>
        <w:t xml:space="preserve">Por otra parte, el manejo de la voz propia y la voz ajena presenta resultados heterogéneos. Los estudiantes aún muestran dificultades para integrar citas y </w:t>
      </w:r>
      <w:r w:rsidR="001450AE" w:rsidRPr="00294270">
        <w:rPr>
          <w:rFonts w:ascii="Arial" w:hAnsi="Arial" w:cs="Arial"/>
          <w:sz w:val="24"/>
          <w:szCs w:val="24"/>
          <w:lang w:val="es-CL"/>
        </w:rPr>
        <w:t>paráfr</w:t>
      </w:r>
      <w:r w:rsidR="001450AE">
        <w:rPr>
          <w:rFonts w:ascii="Arial" w:hAnsi="Arial" w:cs="Arial"/>
          <w:sz w:val="24"/>
          <w:szCs w:val="24"/>
          <w:lang w:val="es-CL"/>
        </w:rPr>
        <w:t>asis</w:t>
      </w:r>
      <w:r w:rsidRPr="00294270">
        <w:rPr>
          <w:rFonts w:ascii="Arial" w:hAnsi="Arial" w:cs="Arial"/>
          <w:sz w:val="24"/>
          <w:szCs w:val="24"/>
          <w:lang w:val="es-CL"/>
        </w:rPr>
        <w:t xml:space="preserve"> de manera adecuada, así como para distinguir entre sus ideas y las de otros autores.</w:t>
      </w:r>
    </w:p>
    <w:p w14:paraId="37DA842C" w14:textId="77777777" w:rsidR="00EA50F7" w:rsidRPr="00E06C57" w:rsidRDefault="00EA50F7" w:rsidP="00EA50F7">
      <w:pPr>
        <w:spacing w:line="360" w:lineRule="auto"/>
        <w:jc w:val="both"/>
        <w:rPr>
          <w:rFonts w:ascii="Arial" w:hAnsi="Arial" w:cs="Arial"/>
          <w:sz w:val="24"/>
          <w:szCs w:val="24"/>
          <w:lang w:val="es-CL"/>
        </w:rPr>
      </w:pPr>
      <w:r>
        <w:rPr>
          <w:rFonts w:ascii="Arial" w:hAnsi="Arial" w:cs="Arial"/>
          <w:sz w:val="24"/>
          <w:szCs w:val="24"/>
          <w:lang w:val="es-CL"/>
        </w:rPr>
        <w:t xml:space="preserve">Con relación al componente 2, este se ha desarrollado en 7 programas de pregrado y </w:t>
      </w:r>
      <w:r w:rsidRPr="00E06C57">
        <w:rPr>
          <w:rFonts w:ascii="Arial" w:hAnsi="Arial" w:cs="Arial"/>
          <w:sz w:val="24"/>
          <w:szCs w:val="24"/>
          <w:lang w:val="es-CL"/>
        </w:rPr>
        <w:t xml:space="preserve">ha favorecido la incorporación de estrategias pedagógicas orientadas al desarrollo de </w:t>
      </w:r>
      <w:r>
        <w:rPr>
          <w:rFonts w:ascii="Arial" w:hAnsi="Arial" w:cs="Arial"/>
          <w:sz w:val="24"/>
          <w:szCs w:val="24"/>
          <w:lang w:val="es-CL"/>
        </w:rPr>
        <w:t xml:space="preserve">las </w:t>
      </w:r>
      <w:r w:rsidRPr="00E06C57">
        <w:rPr>
          <w:rFonts w:ascii="Arial" w:hAnsi="Arial" w:cs="Arial"/>
          <w:sz w:val="24"/>
          <w:szCs w:val="24"/>
          <w:lang w:val="es-CL"/>
        </w:rPr>
        <w:t>competencias</w:t>
      </w:r>
      <w:r>
        <w:rPr>
          <w:rFonts w:ascii="Arial" w:hAnsi="Arial" w:cs="Arial"/>
          <w:sz w:val="24"/>
          <w:szCs w:val="24"/>
          <w:lang w:val="es-CL"/>
        </w:rPr>
        <w:t xml:space="preserve"> de comunicación y pensamiento</w:t>
      </w:r>
      <w:r w:rsidRPr="00E06C57">
        <w:rPr>
          <w:rFonts w:ascii="Arial" w:hAnsi="Arial" w:cs="Arial"/>
          <w:sz w:val="24"/>
          <w:szCs w:val="24"/>
          <w:lang w:val="es-CL"/>
        </w:rPr>
        <w:t xml:space="preserve"> en distintas disciplinas, fortaleciendo la coherencia formativa.</w:t>
      </w:r>
      <w:r>
        <w:rPr>
          <w:rFonts w:ascii="Arial" w:hAnsi="Arial" w:cs="Arial"/>
          <w:sz w:val="24"/>
          <w:szCs w:val="24"/>
          <w:lang w:val="es-CL"/>
        </w:rPr>
        <w:t xml:space="preserve"> Particularmente </w:t>
      </w:r>
      <w:r w:rsidRPr="00E06C57">
        <w:rPr>
          <w:rFonts w:ascii="Arial" w:hAnsi="Arial" w:cs="Arial"/>
          <w:sz w:val="24"/>
          <w:szCs w:val="24"/>
          <w:lang w:val="es-CL"/>
        </w:rPr>
        <w:t>las instancias de capacitación y mentoría han contribuido a la adopción de prácticas pedagógicas más explícitas</w:t>
      </w:r>
      <w:r>
        <w:rPr>
          <w:rFonts w:ascii="Arial" w:hAnsi="Arial" w:cs="Arial"/>
          <w:sz w:val="24"/>
          <w:szCs w:val="24"/>
          <w:lang w:val="es-CL"/>
        </w:rPr>
        <w:t xml:space="preserve">. </w:t>
      </w:r>
    </w:p>
    <w:p w14:paraId="30607D87" w14:textId="77777777" w:rsidR="00550416" w:rsidRDefault="00550416" w:rsidP="00EA50F7">
      <w:pPr>
        <w:spacing w:line="360" w:lineRule="auto"/>
        <w:jc w:val="both"/>
        <w:rPr>
          <w:rFonts w:ascii="Arial" w:hAnsi="Arial" w:cs="Arial"/>
          <w:b/>
          <w:bCs/>
          <w:sz w:val="24"/>
          <w:szCs w:val="24"/>
          <w:lang w:val="es-CL"/>
        </w:rPr>
      </w:pPr>
    </w:p>
    <w:p w14:paraId="5678E3D6" w14:textId="77777777" w:rsidR="00550416" w:rsidRDefault="00550416" w:rsidP="00EA50F7">
      <w:pPr>
        <w:spacing w:line="360" w:lineRule="auto"/>
        <w:jc w:val="both"/>
        <w:rPr>
          <w:rFonts w:ascii="Arial" w:hAnsi="Arial" w:cs="Arial"/>
          <w:b/>
          <w:bCs/>
          <w:sz w:val="24"/>
          <w:szCs w:val="24"/>
          <w:lang w:val="es-CL"/>
        </w:rPr>
      </w:pPr>
    </w:p>
    <w:p w14:paraId="550D6632" w14:textId="00BC64EF" w:rsidR="00EA50F7" w:rsidRPr="00E06C57" w:rsidRDefault="00EA50F7" w:rsidP="00EA50F7">
      <w:pPr>
        <w:spacing w:line="360" w:lineRule="auto"/>
        <w:jc w:val="both"/>
        <w:rPr>
          <w:rFonts w:ascii="Arial" w:hAnsi="Arial" w:cs="Arial"/>
          <w:b/>
          <w:bCs/>
          <w:sz w:val="24"/>
          <w:szCs w:val="24"/>
          <w:lang w:val="es-CL"/>
        </w:rPr>
      </w:pPr>
      <w:r w:rsidRPr="00E06C57">
        <w:rPr>
          <w:rFonts w:ascii="Arial" w:hAnsi="Arial" w:cs="Arial"/>
          <w:b/>
          <w:bCs/>
          <w:sz w:val="24"/>
          <w:szCs w:val="24"/>
          <w:lang w:val="es-CL"/>
        </w:rPr>
        <w:t>Discusión</w:t>
      </w:r>
    </w:p>
    <w:p w14:paraId="7E1680AD" w14:textId="7909F977" w:rsidR="00EA50F7" w:rsidRPr="004E6F7C" w:rsidRDefault="00EA50F7" w:rsidP="00EA50F7">
      <w:pPr>
        <w:spacing w:line="360" w:lineRule="auto"/>
        <w:jc w:val="both"/>
        <w:rPr>
          <w:rFonts w:ascii="Arial" w:hAnsi="Arial" w:cs="Arial"/>
          <w:sz w:val="24"/>
          <w:szCs w:val="24"/>
          <w:lang w:val="es-CL"/>
        </w:rPr>
      </w:pPr>
      <w:r w:rsidRPr="004E6F7C">
        <w:rPr>
          <w:rFonts w:ascii="Arial" w:hAnsi="Arial" w:cs="Arial"/>
          <w:sz w:val="24"/>
          <w:szCs w:val="24"/>
          <w:lang w:val="es-CL"/>
        </w:rPr>
        <w:t>Los resultados obtenidos sugieren que la implementación de un modelo integrado de desarrollo de competencias de comunicación y pensamiento constituye una estrategia efectiva para fortalecer la formación universitaria</w:t>
      </w:r>
      <w:r>
        <w:rPr>
          <w:rFonts w:ascii="Arial" w:hAnsi="Arial" w:cs="Arial"/>
          <w:sz w:val="24"/>
          <w:szCs w:val="24"/>
          <w:lang w:val="es-CL"/>
        </w:rPr>
        <w:t xml:space="preserve"> en concordancia con la visión de </w:t>
      </w:r>
      <w:r w:rsidRPr="00C70BFD">
        <w:rPr>
          <w:rFonts w:ascii="Arial" w:hAnsi="Arial" w:cs="Arial"/>
          <w:sz w:val="24"/>
          <w:szCs w:val="24"/>
          <w:lang w:val="es-CL"/>
        </w:rPr>
        <w:t>Russell</w:t>
      </w:r>
      <w:r>
        <w:rPr>
          <w:rFonts w:ascii="Arial" w:hAnsi="Arial" w:cs="Arial"/>
          <w:sz w:val="24"/>
          <w:szCs w:val="24"/>
          <w:lang w:val="es-CL"/>
        </w:rPr>
        <w:t xml:space="preserve"> </w:t>
      </w:r>
      <w:r w:rsidR="00010423">
        <w:rPr>
          <w:rFonts w:ascii="Arial" w:hAnsi="Arial" w:cs="Arial"/>
          <w:sz w:val="24"/>
          <w:szCs w:val="24"/>
          <w:lang w:val="es-CL"/>
        </w:rPr>
        <w:t xml:space="preserve">et al. </w:t>
      </w:r>
      <w:r>
        <w:rPr>
          <w:rFonts w:ascii="Arial" w:hAnsi="Arial" w:cs="Arial"/>
          <w:sz w:val="24"/>
          <w:szCs w:val="24"/>
          <w:lang w:val="es-CL"/>
        </w:rPr>
        <w:t>(</w:t>
      </w:r>
      <w:r w:rsidRPr="00C70BFD">
        <w:rPr>
          <w:rFonts w:ascii="Arial" w:hAnsi="Arial" w:cs="Arial"/>
          <w:sz w:val="24"/>
          <w:szCs w:val="24"/>
          <w:lang w:val="es-CL"/>
        </w:rPr>
        <w:t>20</w:t>
      </w:r>
      <w:r w:rsidR="00010423">
        <w:rPr>
          <w:rFonts w:ascii="Arial" w:hAnsi="Arial" w:cs="Arial"/>
          <w:sz w:val="24"/>
          <w:szCs w:val="24"/>
          <w:lang w:val="es-CL"/>
        </w:rPr>
        <w:t>09</w:t>
      </w:r>
      <w:r>
        <w:rPr>
          <w:rFonts w:ascii="Arial" w:hAnsi="Arial" w:cs="Arial"/>
          <w:sz w:val="24"/>
          <w:szCs w:val="24"/>
          <w:lang w:val="es-CL"/>
        </w:rPr>
        <w:t>)</w:t>
      </w:r>
      <w:r w:rsidRPr="004E6F7C">
        <w:rPr>
          <w:rFonts w:ascii="Arial" w:hAnsi="Arial" w:cs="Arial"/>
          <w:sz w:val="24"/>
          <w:szCs w:val="24"/>
          <w:lang w:val="es-CL"/>
        </w:rPr>
        <w:t>. En particular, la combinación de cursos transversales y la integración de estas competencias a lo largo del currículum permite abordar tanto el desarrollo inicial de habilidades como su profundización en contextos disciplinares específicos.</w:t>
      </w:r>
    </w:p>
    <w:p w14:paraId="405357FF" w14:textId="77777777" w:rsidR="00EA50F7" w:rsidRPr="004E6F7C" w:rsidRDefault="00EA50F7" w:rsidP="00EA50F7">
      <w:pPr>
        <w:spacing w:line="360" w:lineRule="auto"/>
        <w:jc w:val="both"/>
        <w:rPr>
          <w:rFonts w:ascii="Arial" w:hAnsi="Arial" w:cs="Arial"/>
          <w:sz w:val="24"/>
          <w:szCs w:val="24"/>
          <w:lang w:val="es-CL"/>
        </w:rPr>
      </w:pPr>
      <w:r w:rsidRPr="004E6F7C">
        <w:rPr>
          <w:rFonts w:ascii="Arial" w:hAnsi="Arial" w:cs="Arial"/>
          <w:sz w:val="24"/>
          <w:szCs w:val="24"/>
          <w:lang w:val="es-CL"/>
        </w:rPr>
        <w:t>Estos hallazgos son consistentes con los planteamientos de la alfabetización académica (Carlino, 2013), que enfatizan la necesidad de enseñar explícitamente las prácticas discursivas en contextos situados, así como con las perspectivas de escritura a través del currículum y escritura en las disciplinas, que destacan la importancia de articular la enseñanza de la escritura con las exigencias propias de cada área de conocimiento. En este sentido, el modelo presentado permite superar enfoques fragmentados, integrando una formación progresiva y coherente a lo largo de la trayectoria académica.</w:t>
      </w:r>
    </w:p>
    <w:p w14:paraId="5863A1E2" w14:textId="34898141" w:rsidR="00EA50F7" w:rsidRPr="004E6F7C" w:rsidRDefault="00EA50F7" w:rsidP="00EA50F7">
      <w:pPr>
        <w:spacing w:line="360" w:lineRule="auto"/>
        <w:jc w:val="both"/>
        <w:rPr>
          <w:rFonts w:ascii="Arial" w:hAnsi="Arial" w:cs="Arial"/>
          <w:sz w:val="24"/>
          <w:szCs w:val="24"/>
          <w:lang w:val="es-CL"/>
        </w:rPr>
      </w:pPr>
      <w:r w:rsidRPr="004E6F7C">
        <w:rPr>
          <w:rFonts w:ascii="Arial" w:hAnsi="Arial" w:cs="Arial"/>
          <w:sz w:val="24"/>
          <w:szCs w:val="24"/>
          <w:lang w:val="es-CL"/>
        </w:rPr>
        <w:t>Asimismo, los resultados refuerzan la relevancia de la formación docente como un componente clave para la sostenibilidad del modelo, en tanto favorece la incorporación de estrategias pedagógicas explícitas en las prácticas de enseñanza. Esto resulta especialmente significativo si se considera que muchas de estas competencias han sido tradicionalmente relegadas al currículum oculto</w:t>
      </w:r>
      <w:r>
        <w:rPr>
          <w:rFonts w:ascii="Arial" w:hAnsi="Arial" w:cs="Arial"/>
          <w:sz w:val="24"/>
          <w:szCs w:val="24"/>
          <w:lang w:val="es-CL"/>
        </w:rPr>
        <w:t xml:space="preserve"> (Navarro</w:t>
      </w:r>
      <w:r w:rsidR="00F859CC">
        <w:rPr>
          <w:rFonts w:ascii="Arial" w:hAnsi="Arial" w:cs="Arial"/>
          <w:sz w:val="24"/>
          <w:szCs w:val="24"/>
          <w:lang w:val="es-CL"/>
        </w:rPr>
        <w:t xml:space="preserve"> </w:t>
      </w:r>
      <w:r>
        <w:rPr>
          <w:rFonts w:ascii="Arial" w:hAnsi="Arial" w:cs="Arial"/>
          <w:sz w:val="24"/>
          <w:szCs w:val="24"/>
          <w:lang w:val="es-CL"/>
        </w:rPr>
        <w:t>et al., 2020)</w:t>
      </w:r>
      <w:r w:rsidRPr="004E6F7C">
        <w:rPr>
          <w:rFonts w:ascii="Arial" w:hAnsi="Arial" w:cs="Arial"/>
          <w:sz w:val="24"/>
          <w:szCs w:val="24"/>
          <w:lang w:val="es-CL"/>
        </w:rPr>
        <w:t>.</w:t>
      </w:r>
    </w:p>
    <w:p w14:paraId="0146498D" w14:textId="77777777" w:rsidR="00EA50F7" w:rsidRDefault="00EA50F7" w:rsidP="00EA50F7">
      <w:pPr>
        <w:spacing w:line="360" w:lineRule="auto"/>
        <w:jc w:val="both"/>
        <w:rPr>
          <w:rFonts w:ascii="Arial" w:hAnsi="Arial" w:cs="Arial"/>
          <w:sz w:val="24"/>
          <w:szCs w:val="24"/>
          <w:lang w:val="es-CL"/>
        </w:rPr>
      </w:pPr>
      <w:r>
        <w:rPr>
          <w:rFonts w:ascii="Arial" w:hAnsi="Arial" w:cs="Arial"/>
          <w:sz w:val="24"/>
          <w:szCs w:val="24"/>
          <w:lang w:val="es-CL"/>
        </w:rPr>
        <w:t xml:space="preserve">Se </w:t>
      </w:r>
      <w:r w:rsidRPr="004E6F7C">
        <w:rPr>
          <w:rFonts w:ascii="Arial" w:hAnsi="Arial" w:cs="Arial"/>
          <w:sz w:val="24"/>
          <w:szCs w:val="24"/>
          <w:lang w:val="es-CL"/>
        </w:rPr>
        <w:t>propone que este modelo constituye una experiencia transferible a otras instituciones de educación superior, en la medida en que articula de manera complementaria la enseñanza transversal y disciplinar de la comunicación y el pensamiento crítico, contribuyendo a la formación de estudiantes más autónomos, reflexivos y capaces de participar activamente en sus comunidades académicas y profesionales.</w:t>
      </w:r>
    </w:p>
    <w:p w14:paraId="7FDCAE10" w14:textId="509EF5C1" w:rsidR="00EA50F7" w:rsidRPr="00550416" w:rsidRDefault="00010423" w:rsidP="003511CF">
      <w:pPr>
        <w:spacing w:line="360" w:lineRule="auto"/>
        <w:jc w:val="both"/>
        <w:rPr>
          <w:rFonts w:ascii="Arial" w:hAnsi="Arial" w:cs="Arial"/>
          <w:sz w:val="24"/>
          <w:szCs w:val="24"/>
          <w:lang w:val="es-CL"/>
        </w:rPr>
      </w:pPr>
      <w:r w:rsidRPr="00010423">
        <w:rPr>
          <w:rFonts w:ascii="Arial" w:hAnsi="Arial" w:cs="Arial"/>
          <w:sz w:val="24"/>
          <w:szCs w:val="24"/>
          <w:lang w:val="es-CL"/>
        </w:rPr>
        <w:lastRenderedPageBreak/>
        <w:t>Finalmente, el estudio presenta limitaciones</w:t>
      </w:r>
      <w:r w:rsidR="00524E31">
        <w:rPr>
          <w:rFonts w:ascii="Arial" w:hAnsi="Arial" w:cs="Arial"/>
          <w:sz w:val="24"/>
          <w:szCs w:val="24"/>
          <w:lang w:val="es-CL"/>
        </w:rPr>
        <w:t>,</w:t>
      </w:r>
      <w:r w:rsidR="00EA50F7" w:rsidRPr="004E6F7C">
        <w:rPr>
          <w:rFonts w:ascii="Arial" w:hAnsi="Arial" w:cs="Arial"/>
          <w:sz w:val="24"/>
          <w:szCs w:val="24"/>
          <w:lang w:val="es-CL"/>
        </w:rPr>
        <w:t xml:space="preserve"> particularmente en lo referido a la necesidad de profundizar en la evaluación del componente </w:t>
      </w:r>
      <w:r w:rsidR="00EA50F7">
        <w:rPr>
          <w:rFonts w:ascii="Arial" w:hAnsi="Arial" w:cs="Arial"/>
          <w:sz w:val="24"/>
          <w:szCs w:val="24"/>
          <w:lang w:val="es-CL"/>
        </w:rPr>
        <w:t>dos</w:t>
      </w:r>
      <w:r w:rsidR="00EA50F7" w:rsidRPr="004E6F7C">
        <w:rPr>
          <w:rFonts w:ascii="Arial" w:hAnsi="Arial" w:cs="Arial"/>
          <w:sz w:val="24"/>
          <w:szCs w:val="24"/>
          <w:lang w:val="es-CL"/>
        </w:rPr>
        <w:t xml:space="preserve"> en el largo plazo y en distintos contextos disciplinares. </w:t>
      </w:r>
    </w:p>
    <w:p w14:paraId="18C1C0E0" w14:textId="5F9D096E" w:rsidR="004E6F7C" w:rsidRPr="00D5368E" w:rsidRDefault="00E06C57" w:rsidP="00550416">
      <w:pPr>
        <w:spacing w:line="360" w:lineRule="auto"/>
        <w:jc w:val="center"/>
        <w:rPr>
          <w:rFonts w:ascii="Arial" w:hAnsi="Arial" w:cs="Arial"/>
          <w:b/>
          <w:bCs/>
          <w:sz w:val="24"/>
          <w:szCs w:val="24"/>
          <w:lang w:val="es-CL"/>
        </w:rPr>
      </w:pPr>
      <w:r w:rsidRPr="00E06C57">
        <w:rPr>
          <w:rFonts w:ascii="Arial" w:hAnsi="Arial" w:cs="Arial"/>
          <w:b/>
          <w:bCs/>
          <w:sz w:val="24"/>
          <w:szCs w:val="24"/>
          <w:lang w:val="es-CL"/>
        </w:rPr>
        <w:t>REFERENCIAS (APA 7ª)</w:t>
      </w:r>
    </w:p>
    <w:p w14:paraId="4B42F210" w14:textId="19EFB8D1" w:rsidR="00EA50F7" w:rsidRPr="00EA50F7" w:rsidRDefault="00EA50F7" w:rsidP="00EA50F7">
      <w:pPr>
        <w:ind w:left="851" w:hanging="851"/>
        <w:jc w:val="both"/>
        <w:rPr>
          <w:rFonts w:ascii="Arial" w:hAnsi="Arial" w:cs="Arial"/>
          <w:iCs/>
          <w:sz w:val="24"/>
          <w:szCs w:val="24"/>
        </w:rPr>
      </w:pPr>
      <w:r w:rsidRPr="00EA50F7">
        <w:rPr>
          <w:rFonts w:ascii="Arial" w:hAnsi="Arial" w:cs="Arial"/>
          <w:iCs/>
          <w:sz w:val="24"/>
          <w:szCs w:val="24"/>
        </w:rPr>
        <w:t xml:space="preserve">Bazerman, C. (2005). </w:t>
      </w:r>
      <w:r w:rsidRPr="00EA50F7">
        <w:rPr>
          <w:rFonts w:ascii="Arial" w:hAnsi="Arial" w:cs="Arial"/>
          <w:i/>
          <w:sz w:val="24"/>
          <w:szCs w:val="24"/>
        </w:rPr>
        <w:t>Reference Guide to Writing Across the Curriculum</w:t>
      </w:r>
      <w:r w:rsidRPr="00EA50F7">
        <w:rPr>
          <w:rFonts w:ascii="Arial" w:hAnsi="Arial" w:cs="Arial"/>
          <w:iCs/>
          <w:sz w:val="24"/>
          <w:szCs w:val="24"/>
        </w:rPr>
        <w:t>.</w:t>
      </w:r>
      <w:r w:rsidR="00010423" w:rsidRPr="00010423">
        <w:rPr>
          <w:b/>
          <w:bCs/>
        </w:rPr>
        <w:t xml:space="preserve"> </w:t>
      </w:r>
      <w:r w:rsidR="00524E31" w:rsidRPr="00524E31">
        <w:t xml:space="preserve">WAC </w:t>
      </w:r>
      <w:r w:rsidR="00010423" w:rsidRPr="00010423">
        <w:rPr>
          <w:rFonts w:ascii="Arial" w:hAnsi="Arial" w:cs="Arial"/>
          <w:iCs/>
          <w:sz w:val="24"/>
          <w:szCs w:val="24"/>
        </w:rPr>
        <w:t>Clearinghouse</w:t>
      </w:r>
      <w:r w:rsidRPr="00EA50F7">
        <w:rPr>
          <w:rFonts w:ascii="Arial" w:hAnsi="Arial" w:cs="Arial"/>
          <w:iCs/>
          <w:sz w:val="24"/>
          <w:szCs w:val="24"/>
        </w:rPr>
        <w:t>.</w:t>
      </w:r>
    </w:p>
    <w:p w14:paraId="0A5986ED" w14:textId="77427301" w:rsidR="00E06C57" w:rsidRPr="00E06C57" w:rsidRDefault="00E06C57" w:rsidP="003511CF">
      <w:pPr>
        <w:spacing w:line="360" w:lineRule="auto"/>
        <w:ind w:left="720" w:hanging="720"/>
        <w:jc w:val="both"/>
        <w:rPr>
          <w:rFonts w:ascii="Arial" w:hAnsi="Arial" w:cs="Arial"/>
          <w:sz w:val="24"/>
          <w:szCs w:val="24"/>
          <w:lang w:val="es-CL"/>
        </w:rPr>
      </w:pPr>
      <w:r w:rsidRPr="00E06C57">
        <w:rPr>
          <w:rFonts w:ascii="Arial" w:hAnsi="Arial" w:cs="Arial"/>
          <w:sz w:val="24"/>
          <w:szCs w:val="24"/>
          <w:lang w:val="es-CL"/>
        </w:rPr>
        <w:t xml:space="preserve">Benítez, T., Barletta, N., Chamorro, D., Mizuno, J., &amp; Moss, G. (2018). </w:t>
      </w:r>
      <w:r w:rsidRPr="00E06C57">
        <w:rPr>
          <w:rFonts w:ascii="Arial" w:hAnsi="Arial" w:cs="Arial"/>
          <w:i/>
          <w:iCs/>
          <w:sz w:val="24"/>
          <w:szCs w:val="24"/>
          <w:lang w:val="es-CL"/>
        </w:rPr>
        <w:t>Reading and writing across the curriculum</w:t>
      </w:r>
      <w:r w:rsidRPr="00E06C57">
        <w:rPr>
          <w:rFonts w:ascii="Arial" w:hAnsi="Arial" w:cs="Arial"/>
          <w:sz w:val="24"/>
          <w:szCs w:val="24"/>
          <w:lang w:val="es-CL"/>
        </w:rPr>
        <w:t>. Routledge.</w:t>
      </w:r>
    </w:p>
    <w:p w14:paraId="2799EAAC" w14:textId="77777777" w:rsidR="00E06C57" w:rsidRPr="00E06C57" w:rsidRDefault="00E06C57" w:rsidP="003511CF">
      <w:pPr>
        <w:spacing w:line="360" w:lineRule="auto"/>
        <w:ind w:left="720" w:hanging="720"/>
        <w:jc w:val="both"/>
        <w:rPr>
          <w:rFonts w:ascii="Arial" w:hAnsi="Arial" w:cs="Arial"/>
          <w:sz w:val="24"/>
          <w:szCs w:val="24"/>
          <w:lang w:val="es-CL"/>
        </w:rPr>
      </w:pPr>
      <w:r w:rsidRPr="00E06C57">
        <w:rPr>
          <w:rFonts w:ascii="Arial" w:hAnsi="Arial" w:cs="Arial"/>
          <w:sz w:val="24"/>
          <w:szCs w:val="24"/>
          <w:lang w:val="es-CL"/>
        </w:rPr>
        <w:t xml:space="preserve">Carlino, P. (2013). Alfabetización académica diez años después. </w:t>
      </w:r>
      <w:r w:rsidRPr="00E06C57">
        <w:rPr>
          <w:rFonts w:ascii="Arial" w:hAnsi="Arial" w:cs="Arial"/>
          <w:i/>
          <w:iCs/>
          <w:sz w:val="24"/>
          <w:szCs w:val="24"/>
          <w:lang w:val="es-CL"/>
        </w:rPr>
        <w:t>Revista Mexicana de Investigación Educativa</w:t>
      </w:r>
      <w:r w:rsidRPr="00E06C57">
        <w:rPr>
          <w:rFonts w:ascii="Arial" w:hAnsi="Arial" w:cs="Arial"/>
          <w:sz w:val="24"/>
          <w:szCs w:val="24"/>
          <w:lang w:val="es-CL"/>
        </w:rPr>
        <w:t>, 18(57), 355–381.</w:t>
      </w:r>
    </w:p>
    <w:p w14:paraId="56CC8147" w14:textId="77777777" w:rsidR="00E06C57" w:rsidRPr="00E06C57" w:rsidRDefault="00E06C57" w:rsidP="003511CF">
      <w:pPr>
        <w:spacing w:line="360" w:lineRule="auto"/>
        <w:ind w:left="720" w:hanging="720"/>
        <w:jc w:val="both"/>
        <w:rPr>
          <w:rFonts w:ascii="Arial" w:hAnsi="Arial" w:cs="Arial"/>
          <w:sz w:val="24"/>
          <w:szCs w:val="24"/>
          <w:lang w:val="es-CL"/>
        </w:rPr>
      </w:pPr>
      <w:r w:rsidRPr="00E06C57">
        <w:rPr>
          <w:rFonts w:ascii="Arial" w:hAnsi="Arial" w:cs="Arial"/>
          <w:sz w:val="24"/>
          <w:szCs w:val="24"/>
          <w:lang w:val="es-CL"/>
        </w:rPr>
        <w:t xml:space="preserve">Cottrell, S. (2011). </w:t>
      </w:r>
      <w:r w:rsidRPr="00E06C57">
        <w:rPr>
          <w:rFonts w:ascii="Arial" w:hAnsi="Arial" w:cs="Arial"/>
          <w:i/>
          <w:iCs/>
          <w:sz w:val="24"/>
          <w:szCs w:val="24"/>
          <w:lang w:val="es-CL"/>
        </w:rPr>
        <w:t>Critical thinking skills: Developing effective analysis and argument</w:t>
      </w:r>
      <w:r w:rsidRPr="00E06C57">
        <w:rPr>
          <w:rFonts w:ascii="Arial" w:hAnsi="Arial" w:cs="Arial"/>
          <w:sz w:val="24"/>
          <w:szCs w:val="24"/>
          <w:lang w:val="es-CL"/>
        </w:rPr>
        <w:t>. Palgrave Macmillan.</w:t>
      </w:r>
    </w:p>
    <w:p w14:paraId="25589389" w14:textId="5C3300AC" w:rsidR="00D5368E" w:rsidRDefault="00D5368E" w:rsidP="003511CF">
      <w:pPr>
        <w:spacing w:line="360" w:lineRule="auto"/>
        <w:ind w:left="720" w:hanging="720"/>
        <w:jc w:val="both"/>
        <w:rPr>
          <w:rFonts w:ascii="Arial" w:hAnsi="Arial" w:cs="Arial"/>
          <w:sz w:val="24"/>
          <w:szCs w:val="24"/>
        </w:rPr>
      </w:pPr>
      <w:r w:rsidRPr="00D5368E">
        <w:rPr>
          <w:rFonts w:ascii="Arial" w:hAnsi="Arial" w:cs="Arial"/>
          <w:sz w:val="24"/>
          <w:szCs w:val="24"/>
        </w:rPr>
        <w:t xml:space="preserve">Englert, C., Mariage, T. &amp; Dunsmore, K. (2006). Tenets of sociocultural theory in writing instruction research. En C. A. MacArthur, S. Graham, &amp; J. Fitzgerald (Eds.), </w:t>
      </w:r>
      <w:r w:rsidRPr="00D5368E">
        <w:rPr>
          <w:rFonts w:ascii="Arial" w:hAnsi="Arial" w:cs="Arial"/>
          <w:i/>
          <w:iCs/>
          <w:sz w:val="24"/>
          <w:szCs w:val="24"/>
        </w:rPr>
        <w:t>Handbook of writing research</w:t>
      </w:r>
      <w:r w:rsidRPr="00D5368E">
        <w:rPr>
          <w:rFonts w:ascii="Arial" w:hAnsi="Arial" w:cs="Arial"/>
          <w:sz w:val="24"/>
          <w:szCs w:val="24"/>
        </w:rPr>
        <w:t xml:space="preserve"> (pp. 208–221). Guilford Press.</w:t>
      </w:r>
    </w:p>
    <w:p w14:paraId="28E5DA37" w14:textId="77777777" w:rsidR="001450AE" w:rsidRPr="001450AE" w:rsidRDefault="001450AE" w:rsidP="001450AE">
      <w:pPr>
        <w:ind w:left="851" w:hanging="851"/>
        <w:jc w:val="both"/>
        <w:rPr>
          <w:rFonts w:ascii="Arial" w:hAnsi="Arial" w:cs="Arial"/>
          <w:sz w:val="24"/>
          <w:szCs w:val="24"/>
        </w:rPr>
      </w:pPr>
      <w:r w:rsidRPr="001450AE">
        <w:rPr>
          <w:rFonts w:ascii="Arial" w:hAnsi="Arial" w:cs="Arial"/>
          <w:sz w:val="24"/>
          <w:szCs w:val="24"/>
        </w:rPr>
        <w:t xml:space="preserve">Flower, L. &amp; Hayes, J. (1980). </w:t>
      </w:r>
      <w:r w:rsidRPr="001450AE">
        <w:rPr>
          <w:rFonts w:ascii="Arial" w:hAnsi="Arial" w:cs="Arial"/>
          <w:i/>
          <w:iCs/>
          <w:sz w:val="24"/>
          <w:szCs w:val="24"/>
        </w:rPr>
        <w:t>Teoría de la redacción como proceso cognitivo</w:t>
      </w:r>
      <w:r w:rsidRPr="001450AE">
        <w:rPr>
          <w:rFonts w:ascii="Arial" w:hAnsi="Arial" w:cs="Arial"/>
          <w:sz w:val="24"/>
          <w:szCs w:val="24"/>
        </w:rPr>
        <w:t>. En Textos en contextos I "Los procesos de lectura y escritura". Lectura y Vida.</w:t>
      </w:r>
    </w:p>
    <w:p w14:paraId="238137BC" w14:textId="50671B6D" w:rsidR="00E06C57" w:rsidRDefault="00E06C57" w:rsidP="003511CF">
      <w:pPr>
        <w:spacing w:line="360" w:lineRule="auto"/>
        <w:ind w:left="720" w:hanging="720"/>
        <w:jc w:val="both"/>
        <w:rPr>
          <w:rFonts w:ascii="Arial" w:hAnsi="Arial" w:cs="Arial"/>
          <w:sz w:val="24"/>
          <w:szCs w:val="24"/>
          <w:lang w:val="es-CL"/>
        </w:rPr>
      </w:pPr>
      <w:r w:rsidRPr="00E06C57">
        <w:rPr>
          <w:rFonts w:ascii="Arial" w:hAnsi="Arial" w:cs="Arial"/>
          <w:sz w:val="24"/>
          <w:szCs w:val="24"/>
          <w:lang w:val="es-CL"/>
        </w:rPr>
        <w:t xml:space="preserve">Navarro, F., Uribe-Gajardo, F., Lovera-Falcón, P., &amp; Sologuren-Insúa, E. (2019). Encuentros con la escritura en la educación superior. </w:t>
      </w:r>
      <w:r w:rsidRPr="00E06C57">
        <w:rPr>
          <w:rFonts w:ascii="Arial" w:hAnsi="Arial" w:cs="Arial"/>
          <w:i/>
          <w:iCs/>
          <w:sz w:val="24"/>
          <w:szCs w:val="24"/>
          <w:lang w:val="es-CL"/>
        </w:rPr>
        <w:t>Ibérica</w:t>
      </w:r>
      <w:r w:rsidRPr="00E06C57">
        <w:rPr>
          <w:rFonts w:ascii="Arial" w:hAnsi="Arial" w:cs="Arial"/>
          <w:sz w:val="24"/>
          <w:szCs w:val="24"/>
          <w:lang w:val="es-CL"/>
        </w:rPr>
        <w:t>, 38, 75–98.</w:t>
      </w:r>
      <w:r w:rsidR="001450AE" w:rsidRPr="001450AE">
        <w:rPr>
          <w:rFonts w:ascii="Fira Sans" w:hAnsi="Fira Sans"/>
          <w:color w:val="333333"/>
          <w:shd w:val="clear" w:color="auto" w:fill="FFFFFF"/>
        </w:rPr>
        <w:t xml:space="preserve"> </w:t>
      </w:r>
      <w:r w:rsidR="001450AE" w:rsidRPr="001450AE">
        <w:rPr>
          <w:rFonts w:ascii="Arial" w:hAnsi="Arial" w:cs="Arial"/>
          <w:sz w:val="24"/>
          <w:szCs w:val="24"/>
        </w:rPr>
        <w:t>https://revistaiberica.org/index.php/iberica/article/view/93</w:t>
      </w:r>
    </w:p>
    <w:p w14:paraId="76FD0020" w14:textId="559B905F" w:rsidR="00EA50F7" w:rsidRPr="00E06C57" w:rsidRDefault="00EA50F7" w:rsidP="00EA50F7">
      <w:pPr>
        <w:spacing w:line="360" w:lineRule="auto"/>
        <w:ind w:left="720" w:hanging="720"/>
        <w:jc w:val="both"/>
        <w:rPr>
          <w:rFonts w:ascii="Arial" w:hAnsi="Arial" w:cs="Arial"/>
          <w:sz w:val="24"/>
          <w:szCs w:val="24"/>
          <w:lang w:val="es-CL"/>
        </w:rPr>
      </w:pPr>
      <w:r w:rsidRPr="00EA50F7">
        <w:rPr>
          <w:rFonts w:ascii="Arial" w:hAnsi="Arial" w:cs="Arial"/>
          <w:sz w:val="24"/>
          <w:szCs w:val="24"/>
          <w:lang w:val="es-CL"/>
        </w:rPr>
        <w:t xml:space="preserve">Navarro, F., Ávila, N., Calle-Arango, L., y Cortés, A. (2020). Lectura, escritura y oralidad en perfiles de egreso de educación superior: Contrastes entre instituciones y carreras. </w:t>
      </w:r>
      <w:r w:rsidRPr="00EA50F7">
        <w:rPr>
          <w:rFonts w:ascii="Arial" w:hAnsi="Arial" w:cs="Arial"/>
          <w:i/>
          <w:iCs/>
          <w:sz w:val="24"/>
          <w:szCs w:val="24"/>
          <w:lang w:val="es-CL"/>
        </w:rPr>
        <w:t>Calidad en la Educación</w:t>
      </w:r>
      <w:r w:rsidRPr="00EA50F7">
        <w:rPr>
          <w:rFonts w:ascii="Arial" w:hAnsi="Arial" w:cs="Arial"/>
          <w:sz w:val="24"/>
          <w:szCs w:val="24"/>
          <w:lang w:val="es-CL"/>
        </w:rPr>
        <w:t xml:space="preserve">, 52. </w:t>
      </w:r>
      <w:hyperlink r:id="rId8" w:history="1">
        <w:r w:rsidR="001450AE" w:rsidRPr="001450AE">
          <w:rPr>
            <w:rStyle w:val="Hipervnculo"/>
            <w:rFonts w:ascii="Arial" w:hAnsi="Arial" w:cs="Arial"/>
            <w:sz w:val="24"/>
            <w:szCs w:val="24"/>
          </w:rPr>
          <w:t>https://dx.doi.org/10.31619/caledu.n52.766</w:t>
        </w:r>
      </w:hyperlink>
    </w:p>
    <w:p w14:paraId="1DB12379" w14:textId="40A9E40F" w:rsidR="001450AE" w:rsidRDefault="001450AE" w:rsidP="00550416">
      <w:pPr>
        <w:spacing w:line="360" w:lineRule="auto"/>
        <w:ind w:left="720" w:hanging="720"/>
        <w:jc w:val="both"/>
        <w:rPr>
          <w:rFonts w:ascii="Arial" w:hAnsi="Arial" w:cs="Arial"/>
          <w:sz w:val="24"/>
          <w:szCs w:val="24"/>
          <w:lang w:val="es-CL"/>
        </w:rPr>
      </w:pPr>
      <w:r w:rsidRPr="001450AE">
        <w:rPr>
          <w:rFonts w:ascii="Arial" w:hAnsi="Arial" w:cs="Arial"/>
          <w:sz w:val="24"/>
          <w:szCs w:val="24"/>
          <w:lang w:val="es-CL"/>
        </w:rPr>
        <w:lastRenderedPageBreak/>
        <w:t xml:space="preserve">Otero, E., &amp; Herrera, L. (2016). Critical thinking: From naive optimism to reasonable realism. </w:t>
      </w:r>
      <w:r w:rsidRPr="001450AE">
        <w:rPr>
          <w:rFonts w:ascii="Arial" w:hAnsi="Arial" w:cs="Arial"/>
          <w:i/>
          <w:iCs/>
          <w:sz w:val="24"/>
          <w:szCs w:val="24"/>
          <w:lang w:val="es-CL"/>
        </w:rPr>
        <w:t>Cogency: Journal of Reasoning and Argumentation</w:t>
      </w:r>
      <w:r w:rsidRPr="001450AE">
        <w:rPr>
          <w:rFonts w:ascii="Arial" w:hAnsi="Arial" w:cs="Arial"/>
          <w:sz w:val="24"/>
          <w:szCs w:val="24"/>
          <w:lang w:val="es-CL"/>
        </w:rPr>
        <w:t xml:space="preserve">, 8(1), 69–87. </w:t>
      </w:r>
      <w:hyperlink r:id="rId9" w:history="1">
        <w:r w:rsidRPr="001450AE">
          <w:rPr>
            <w:rStyle w:val="Hipervnculo"/>
            <w:rFonts w:ascii="Arial" w:hAnsi="Arial" w:cs="Arial"/>
            <w:sz w:val="24"/>
            <w:szCs w:val="24"/>
            <w:lang w:val="es-CL"/>
          </w:rPr>
          <w:t>https://revistas.udp.cl/index.php/cogency/article/view/235</w:t>
        </w:r>
      </w:hyperlink>
    </w:p>
    <w:p w14:paraId="7EB94A7A" w14:textId="7816CC86" w:rsidR="00EA50F7" w:rsidRPr="00E06C57" w:rsidRDefault="00EA50F7" w:rsidP="003511CF">
      <w:pPr>
        <w:spacing w:line="360" w:lineRule="auto"/>
        <w:ind w:left="720" w:hanging="720"/>
        <w:jc w:val="both"/>
        <w:rPr>
          <w:rFonts w:ascii="Arial" w:hAnsi="Arial" w:cs="Arial"/>
          <w:sz w:val="24"/>
          <w:szCs w:val="24"/>
          <w:lang w:val="es-CL"/>
        </w:rPr>
      </w:pPr>
      <w:r w:rsidRPr="00EA50F7">
        <w:rPr>
          <w:rFonts w:ascii="Arial" w:hAnsi="Arial" w:cs="Arial"/>
          <w:sz w:val="24"/>
          <w:szCs w:val="24"/>
          <w:lang w:val="es-CL"/>
        </w:rPr>
        <w:t>Skillen, J., Merten, M., Trivett, N., &amp; Percy, A. (1998). The IDEALL approach to learning development: A model for fostering improved literacy and learning outcomes for students. En Proceedings of the Australian Association for Research in Education Conference (AARE 1998).</w:t>
      </w:r>
    </w:p>
    <w:p w14:paraId="3CCC2A19" w14:textId="024BD2FF" w:rsidR="00D5368E" w:rsidRPr="00D5368E" w:rsidRDefault="00524E31" w:rsidP="00D5368E">
      <w:pPr>
        <w:spacing w:line="360" w:lineRule="auto"/>
        <w:ind w:left="720" w:hanging="720"/>
        <w:jc w:val="both"/>
        <w:rPr>
          <w:rFonts w:ascii="Arial" w:hAnsi="Arial" w:cs="Arial"/>
          <w:sz w:val="24"/>
          <w:szCs w:val="24"/>
          <w:lang w:val="es-CL"/>
        </w:rPr>
      </w:pPr>
      <w:r w:rsidRPr="00524E31">
        <w:rPr>
          <w:rFonts w:ascii="Arial" w:hAnsi="Arial" w:cs="Arial"/>
          <w:sz w:val="24"/>
          <w:szCs w:val="24"/>
          <w:lang w:val="es-CL"/>
        </w:rPr>
        <w:t>Russell, D., Lea, M., Parker, J., Street, B., &amp; Donahue, T.</w:t>
      </w:r>
      <w:r w:rsidR="00D5368E" w:rsidRPr="00D5368E">
        <w:rPr>
          <w:rFonts w:ascii="Arial" w:hAnsi="Arial" w:cs="Arial"/>
          <w:sz w:val="24"/>
          <w:szCs w:val="24"/>
          <w:lang w:val="es-CL"/>
        </w:rPr>
        <w:t xml:space="preserve"> (2009). Exploring notions of genre in ’academic literacies’ and ’writing across the curriculum’: approaches across countries and contexts. En C. Bazerman, A. Bonini, &amp; D. Figueiredo, (Eds.). </w:t>
      </w:r>
      <w:r w:rsidR="00D5368E" w:rsidRPr="00D5368E">
        <w:rPr>
          <w:rFonts w:ascii="Arial" w:hAnsi="Arial" w:cs="Arial"/>
          <w:i/>
          <w:iCs/>
          <w:sz w:val="24"/>
          <w:szCs w:val="24"/>
          <w:lang w:val="es-CL"/>
        </w:rPr>
        <w:t>Genre in a Changing World. Perspectives on Writing</w:t>
      </w:r>
      <w:r w:rsidR="00D5368E" w:rsidRPr="00D5368E">
        <w:rPr>
          <w:rFonts w:ascii="Arial" w:hAnsi="Arial" w:cs="Arial"/>
          <w:sz w:val="24"/>
          <w:szCs w:val="24"/>
          <w:lang w:val="es-CL"/>
        </w:rPr>
        <w:t xml:space="preserve"> (459-491). WAC Clearinghouse/Parlor Press.</w:t>
      </w:r>
    </w:p>
    <w:p w14:paraId="45261D4A" w14:textId="3C13E625" w:rsidR="00D5368E" w:rsidRPr="00E06C57" w:rsidRDefault="00D5368E" w:rsidP="00D5368E">
      <w:pPr>
        <w:spacing w:line="360" w:lineRule="auto"/>
        <w:ind w:left="720" w:hanging="720"/>
        <w:jc w:val="both"/>
        <w:rPr>
          <w:rFonts w:ascii="Arial" w:hAnsi="Arial" w:cs="Arial"/>
          <w:sz w:val="24"/>
          <w:szCs w:val="24"/>
          <w:lang w:val="es-CL"/>
        </w:rPr>
      </w:pPr>
      <w:r w:rsidRPr="00D5368E">
        <w:rPr>
          <w:rFonts w:ascii="Arial" w:hAnsi="Arial" w:cs="Arial"/>
          <w:sz w:val="24"/>
          <w:szCs w:val="24"/>
          <w:lang w:val="es-CL"/>
        </w:rPr>
        <w:t xml:space="preserve">Torres Perdigón, N. (2017). Alfabetización académica y escritura en la educación superior: aproximaciones, prácticas y desafíos. </w:t>
      </w:r>
      <w:r w:rsidRPr="00D5368E">
        <w:rPr>
          <w:rFonts w:ascii="Arial" w:hAnsi="Arial" w:cs="Arial"/>
          <w:i/>
          <w:iCs/>
          <w:sz w:val="24"/>
          <w:szCs w:val="24"/>
          <w:lang w:val="es-CL"/>
        </w:rPr>
        <w:t>Estudios Pedagógicos</w:t>
      </w:r>
      <w:r w:rsidRPr="00D5368E">
        <w:rPr>
          <w:rFonts w:ascii="Arial" w:hAnsi="Arial" w:cs="Arial"/>
          <w:sz w:val="24"/>
          <w:szCs w:val="24"/>
          <w:lang w:val="es-CL"/>
        </w:rPr>
        <w:t xml:space="preserve">, 43(1), 261–277. </w:t>
      </w:r>
      <w:hyperlink r:id="rId10" w:history="1">
        <w:r w:rsidRPr="00D5368E">
          <w:rPr>
            <w:rStyle w:val="Hipervnculo"/>
            <w:rFonts w:ascii="Arial" w:hAnsi="Arial" w:cs="Arial"/>
            <w:sz w:val="24"/>
            <w:szCs w:val="24"/>
            <w:lang w:val="es-CL"/>
          </w:rPr>
          <w:t>https://doi.org/10.4067/S0718-07052017000100018</w:t>
        </w:r>
      </w:hyperlink>
    </w:p>
    <w:p w14:paraId="45503820" w14:textId="77777777" w:rsidR="00E06C57" w:rsidRPr="00E06C57" w:rsidRDefault="00E06C57" w:rsidP="003511CF">
      <w:pPr>
        <w:spacing w:line="360" w:lineRule="auto"/>
        <w:ind w:left="720" w:hanging="720"/>
        <w:jc w:val="both"/>
        <w:rPr>
          <w:rFonts w:ascii="Arial" w:hAnsi="Arial" w:cs="Arial"/>
          <w:sz w:val="24"/>
          <w:szCs w:val="24"/>
          <w:lang w:val="es-CL"/>
        </w:rPr>
      </w:pPr>
      <w:r w:rsidRPr="00E06C57">
        <w:rPr>
          <w:rFonts w:ascii="Arial" w:hAnsi="Arial" w:cs="Arial"/>
          <w:sz w:val="24"/>
          <w:szCs w:val="24"/>
          <w:lang w:val="es-CL"/>
        </w:rPr>
        <w:t xml:space="preserve">Urzúa-Martínez, S., Riquelme-Yáñez, R., &amp; Micin-Carvallo, S. (2021). Impacto de un programa de lectoescritura. </w:t>
      </w:r>
      <w:r w:rsidRPr="00E06C57">
        <w:rPr>
          <w:rFonts w:ascii="Arial" w:hAnsi="Arial" w:cs="Arial"/>
          <w:i/>
          <w:iCs/>
          <w:sz w:val="24"/>
          <w:szCs w:val="24"/>
          <w:lang w:val="es-CL"/>
        </w:rPr>
        <w:t>Íkala</w:t>
      </w:r>
      <w:r w:rsidRPr="00E06C57">
        <w:rPr>
          <w:rFonts w:ascii="Arial" w:hAnsi="Arial" w:cs="Arial"/>
          <w:sz w:val="24"/>
          <w:szCs w:val="24"/>
          <w:lang w:val="es-CL"/>
        </w:rPr>
        <w:t>, 26(2), 283–302.</w:t>
      </w:r>
    </w:p>
    <w:p w14:paraId="7081504F" w14:textId="77777777" w:rsidR="00E06C57" w:rsidRPr="003511CF" w:rsidRDefault="00E06C57" w:rsidP="003511CF">
      <w:pPr>
        <w:spacing w:line="360" w:lineRule="auto"/>
        <w:jc w:val="both"/>
        <w:rPr>
          <w:rFonts w:ascii="Arial" w:hAnsi="Arial" w:cs="Arial"/>
          <w:sz w:val="24"/>
          <w:szCs w:val="24"/>
          <w:lang w:val="es-AR"/>
        </w:rPr>
      </w:pPr>
    </w:p>
    <w:p w14:paraId="0BB2DB28" w14:textId="6B362D7E" w:rsidR="00C749E0" w:rsidRPr="00414A02" w:rsidRDefault="00C749E0" w:rsidP="003511CF">
      <w:pPr>
        <w:spacing w:line="360" w:lineRule="auto"/>
        <w:rPr>
          <w:lang w:val="es-AR"/>
        </w:rPr>
      </w:pPr>
    </w:p>
    <w:sectPr w:rsidR="00C749E0" w:rsidRPr="00414A02" w:rsidSect="00034616">
      <w:headerReference w:type="default" r:id="rId11"/>
      <w:footerReference w:type="default" r:id="rId12"/>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CA804" w14:textId="77777777" w:rsidR="0036357B" w:rsidRDefault="0036357B" w:rsidP="00414A02">
      <w:pPr>
        <w:spacing w:after="0" w:line="240" w:lineRule="auto"/>
      </w:pPr>
      <w:r>
        <w:separator/>
      </w:r>
    </w:p>
  </w:endnote>
  <w:endnote w:type="continuationSeparator" w:id="0">
    <w:p w14:paraId="272E87F3" w14:textId="77777777" w:rsidR="0036357B" w:rsidRDefault="0036357B" w:rsidP="00414A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ira Sans">
    <w:charset w:val="00"/>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CABB7" w14:textId="77777777" w:rsidR="00414A02" w:rsidRPr="00414A02" w:rsidRDefault="00414A02" w:rsidP="00414A02">
    <w:pPr>
      <w:pStyle w:val="Piedepgina"/>
      <w:jc w:val="center"/>
      <w:rPr>
        <w:rFonts w:ascii="Arial" w:hAnsi="Arial" w:cs="Arial"/>
        <w:sz w:val="20"/>
        <w:szCs w:val="20"/>
        <w:lang w:val="es-ES_tradnl"/>
      </w:rPr>
    </w:pPr>
    <w:r w:rsidRPr="00414A02">
      <w:rPr>
        <w:rFonts w:ascii="Arial" w:hAnsi="Arial" w:cs="Arial"/>
        <w:sz w:val="20"/>
        <w:szCs w:val="20"/>
        <w:lang w:val="es-ES_tradnl"/>
      </w:rPr>
      <w:t>Instituto de la Educación y del Conocimiento</w:t>
    </w:r>
  </w:p>
  <w:p w14:paraId="29A46F5D" w14:textId="77777777" w:rsidR="00414A02" w:rsidRPr="00414A02" w:rsidRDefault="00414A02" w:rsidP="00414A02">
    <w:pPr>
      <w:pStyle w:val="Piedepgina"/>
      <w:jc w:val="center"/>
      <w:rPr>
        <w:rFonts w:ascii="Arial" w:hAnsi="Arial" w:cs="Arial"/>
        <w:sz w:val="20"/>
        <w:szCs w:val="20"/>
        <w:lang w:val="es-ES_tradnl"/>
      </w:rPr>
    </w:pPr>
    <w:r w:rsidRPr="00414A02">
      <w:rPr>
        <w:rFonts w:ascii="Arial" w:hAnsi="Arial" w:cs="Arial"/>
        <w:sz w:val="20"/>
        <w:szCs w:val="20"/>
        <w:lang w:val="es-ES_tradnl"/>
      </w:rPr>
      <w:t>Universidad Nacional de Tierra del Fuego, Antártida e Islas del Atlántico Sur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7D14D" w14:textId="77777777" w:rsidR="0036357B" w:rsidRDefault="0036357B" w:rsidP="00414A02">
      <w:pPr>
        <w:spacing w:after="0" w:line="240" w:lineRule="auto"/>
      </w:pPr>
      <w:r>
        <w:separator/>
      </w:r>
    </w:p>
  </w:footnote>
  <w:footnote w:type="continuationSeparator" w:id="0">
    <w:p w14:paraId="12E61380" w14:textId="77777777" w:rsidR="0036357B" w:rsidRDefault="0036357B" w:rsidP="00414A02">
      <w:pPr>
        <w:spacing w:after="0" w:line="240" w:lineRule="auto"/>
      </w:pPr>
      <w:r>
        <w:continuationSeparator/>
      </w:r>
    </w:p>
  </w:footnote>
  <w:footnote w:id="1">
    <w:p w14:paraId="557CCB07" w14:textId="77777777" w:rsidR="00EA50F7" w:rsidRPr="00414A02" w:rsidRDefault="00EA50F7" w:rsidP="00EA50F7">
      <w:pPr>
        <w:spacing w:after="0" w:line="240" w:lineRule="auto"/>
        <w:rPr>
          <w:rFonts w:ascii="Arial" w:hAnsi="Arial" w:cs="Arial"/>
          <w:sz w:val="20"/>
          <w:szCs w:val="20"/>
          <w:lang w:val="es-AR"/>
        </w:rPr>
      </w:pPr>
      <w:r w:rsidRPr="00414A02">
        <w:rPr>
          <w:rStyle w:val="Refdenotaalpie"/>
          <w:rFonts w:ascii="Arial" w:hAnsi="Arial" w:cs="Arial"/>
          <w:sz w:val="20"/>
          <w:szCs w:val="20"/>
        </w:rPr>
        <w:footnoteRef/>
      </w:r>
      <w:r w:rsidRPr="00414A02">
        <w:rPr>
          <w:rFonts w:ascii="Arial" w:hAnsi="Arial" w:cs="Arial"/>
          <w:sz w:val="20"/>
          <w:szCs w:val="20"/>
        </w:rPr>
        <w:t xml:space="preserve"> </w:t>
      </w:r>
      <w:r w:rsidRPr="00414A02">
        <w:rPr>
          <w:rFonts w:ascii="Arial" w:hAnsi="Arial" w:cs="Arial"/>
          <w:sz w:val="20"/>
          <w:szCs w:val="20"/>
          <w:lang w:val="es-AR"/>
        </w:rPr>
        <w:t>Filiación institucional</w:t>
      </w:r>
    </w:p>
  </w:footnote>
  <w:footnote w:id="2">
    <w:p w14:paraId="2F85BF92" w14:textId="77777777" w:rsidR="00EA50F7" w:rsidRPr="00414A02" w:rsidRDefault="00EA50F7" w:rsidP="00EA50F7">
      <w:pPr>
        <w:spacing w:after="0" w:line="240" w:lineRule="auto"/>
        <w:rPr>
          <w:rFonts w:ascii="Arial" w:hAnsi="Arial" w:cs="Arial"/>
          <w:sz w:val="20"/>
          <w:szCs w:val="20"/>
          <w:lang w:val="es-AR"/>
        </w:rPr>
      </w:pPr>
      <w:r w:rsidRPr="00414A02">
        <w:rPr>
          <w:rStyle w:val="Refdenotaalpie"/>
          <w:rFonts w:ascii="Arial" w:hAnsi="Arial" w:cs="Arial"/>
          <w:sz w:val="20"/>
          <w:szCs w:val="20"/>
        </w:rPr>
        <w:footnoteRef/>
      </w:r>
      <w:r w:rsidRPr="00414A02">
        <w:rPr>
          <w:rFonts w:ascii="Arial" w:hAnsi="Arial" w:cs="Arial"/>
          <w:sz w:val="20"/>
          <w:szCs w:val="20"/>
        </w:rPr>
        <w:t xml:space="preserve"> </w:t>
      </w:r>
      <w:r w:rsidRPr="00414A02">
        <w:rPr>
          <w:rFonts w:ascii="Arial" w:hAnsi="Arial" w:cs="Arial"/>
          <w:sz w:val="20"/>
          <w:szCs w:val="20"/>
          <w:lang w:val="es-AR"/>
        </w:rPr>
        <w:t>Filiación institucional</w:t>
      </w:r>
    </w:p>
  </w:footnote>
  <w:footnote w:id="3">
    <w:p w14:paraId="3912FE1C" w14:textId="77777777" w:rsidR="00EA50F7" w:rsidRPr="00414A02" w:rsidRDefault="00EA50F7" w:rsidP="00EA50F7">
      <w:pPr>
        <w:spacing w:after="0" w:line="240" w:lineRule="auto"/>
        <w:rPr>
          <w:rFonts w:ascii="Arial" w:hAnsi="Arial" w:cs="Arial"/>
          <w:sz w:val="20"/>
          <w:szCs w:val="20"/>
          <w:lang w:val="es-AR"/>
        </w:rPr>
      </w:pPr>
      <w:r w:rsidRPr="00414A02">
        <w:rPr>
          <w:rStyle w:val="Refdenotaalpie"/>
          <w:rFonts w:ascii="Arial" w:hAnsi="Arial" w:cs="Arial"/>
          <w:sz w:val="20"/>
          <w:szCs w:val="20"/>
        </w:rPr>
        <w:footnoteRef/>
      </w:r>
      <w:r w:rsidRPr="00414A02">
        <w:rPr>
          <w:rFonts w:ascii="Arial" w:hAnsi="Arial" w:cs="Arial"/>
          <w:sz w:val="20"/>
          <w:szCs w:val="20"/>
        </w:rPr>
        <w:t xml:space="preserve"> </w:t>
      </w:r>
      <w:r w:rsidRPr="00414A02">
        <w:rPr>
          <w:rFonts w:ascii="Arial" w:hAnsi="Arial" w:cs="Arial"/>
          <w:sz w:val="20"/>
          <w:szCs w:val="20"/>
          <w:lang w:val="es-AR"/>
        </w:rPr>
        <w:t>Filiación institucional</w:t>
      </w:r>
    </w:p>
    <w:p w14:paraId="28AB493F" w14:textId="77777777" w:rsidR="00EA50F7" w:rsidRPr="00414A02" w:rsidRDefault="00EA50F7" w:rsidP="00EA50F7">
      <w:pPr>
        <w:pStyle w:val="Textonotapie"/>
        <w:rPr>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9ECA3" w14:textId="77777777" w:rsidR="00414A02" w:rsidRDefault="00414A02">
    <w:pPr>
      <w:pStyle w:val="Encabezado"/>
    </w:pPr>
    <w:r>
      <w:rPr>
        <w:noProof/>
      </w:rPr>
      <w:drawing>
        <wp:anchor distT="0" distB="0" distL="114300" distR="114300" simplePos="0" relativeHeight="251658240" behindDoc="1" locked="0" layoutInCell="1" allowOverlap="1" wp14:anchorId="2A134160" wp14:editId="3FBFC017">
          <wp:simplePos x="0" y="0"/>
          <wp:positionH relativeFrom="column">
            <wp:posOffset>909569</wp:posOffset>
          </wp:positionH>
          <wp:positionV relativeFrom="paragraph">
            <wp:posOffset>-125095</wp:posOffset>
          </wp:positionV>
          <wp:extent cx="4332605" cy="1246505"/>
          <wp:effectExtent l="0" t="0" r="0" b="0"/>
          <wp:wrapTight wrapText="bothSides">
            <wp:wrapPolygon edited="0">
              <wp:start x="0" y="0"/>
              <wp:lineTo x="0" y="21347"/>
              <wp:lineTo x="21527" y="21347"/>
              <wp:lineTo x="21527" y="0"/>
              <wp:lineTo x="0" y="0"/>
            </wp:wrapPolygon>
          </wp:wrapTight>
          <wp:docPr id="19756432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643229" name="Imagen 1975643229"/>
                  <pic:cNvPicPr/>
                </pic:nvPicPr>
                <pic:blipFill>
                  <a:blip r:embed="rId1"/>
                  <a:stretch>
                    <a:fillRect/>
                  </a:stretch>
                </pic:blipFill>
                <pic:spPr>
                  <a:xfrm>
                    <a:off x="0" y="0"/>
                    <a:ext cx="4332605" cy="12465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81C4096"/>
    <w:multiLevelType w:val="multilevel"/>
    <w:tmpl w:val="F3F47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CF2012"/>
    <w:multiLevelType w:val="multilevel"/>
    <w:tmpl w:val="FA3A142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63546195">
    <w:abstractNumId w:val="8"/>
  </w:num>
  <w:num w:numId="2" w16cid:durableId="2014647980">
    <w:abstractNumId w:val="6"/>
  </w:num>
  <w:num w:numId="3" w16cid:durableId="2085641541">
    <w:abstractNumId w:val="5"/>
  </w:num>
  <w:num w:numId="4" w16cid:durableId="1599799357">
    <w:abstractNumId w:val="4"/>
  </w:num>
  <w:num w:numId="5" w16cid:durableId="817573631">
    <w:abstractNumId w:val="7"/>
  </w:num>
  <w:num w:numId="6" w16cid:durableId="214391234">
    <w:abstractNumId w:val="3"/>
  </w:num>
  <w:num w:numId="7" w16cid:durableId="346521343">
    <w:abstractNumId w:val="2"/>
  </w:num>
  <w:num w:numId="8" w16cid:durableId="1255897033">
    <w:abstractNumId w:val="1"/>
  </w:num>
  <w:num w:numId="9" w16cid:durableId="340737295">
    <w:abstractNumId w:val="0"/>
  </w:num>
  <w:num w:numId="10" w16cid:durableId="1413235135">
    <w:abstractNumId w:val="10"/>
  </w:num>
  <w:num w:numId="11" w16cid:durableId="208359708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423"/>
    <w:rsid w:val="00032FBE"/>
    <w:rsid w:val="00034616"/>
    <w:rsid w:val="0006063C"/>
    <w:rsid w:val="00084D8F"/>
    <w:rsid w:val="000C2ECA"/>
    <w:rsid w:val="000F4957"/>
    <w:rsid w:val="001450AE"/>
    <w:rsid w:val="0015074B"/>
    <w:rsid w:val="00154A9A"/>
    <w:rsid w:val="001D7D63"/>
    <w:rsid w:val="0021756B"/>
    <w:rsid w:val="00294270"/>
    <w:rsid w:val="0029639D"/>
    <w:rsid w:val="00326F90"/>
    <w:rsid w:val="003475B6"/>
    <w:rsid w:val="003511CF"/>
    <w:rsid w:val="0036357B"/>
    <w:rsid w:val="003B7C2E"/>
    <w:rsid w:val="003F3421"/>
    <w:rsid w:val="00414A02"/>
    <w:rsid w:val="004E6F7C"/>
    <w:rsid w:val="00524E31"/>
    <w:rsid w:val="00550416"/>
    <w:rsid w:val="0059503B"/>
    <w:rsid w:val="005E5C9E"/>
    <w:rsid w:val="006528A7"/>
    <w:rsid w:val="007251AA"/>
    <w:rsid w:val="00755184"/>
    <w:rsid w:val="00793A88"/>
    <w:rsid w:val="007E7E9D"/>
    <w:rsid w:val="0081233C"/>
    <w:rsid w:val="008457E0"/>
    <w:rsid w:val="0086275D"/>
    <w:rsid w:val="00AA1D8D"/>
    <w:rsid w:val="00B47730"/>
    <w:rsid w:val="00B53831"/>
    <w:rsid w:val="00BB4CF4"/>
    <w:rsid w:val="00C70BFD"/>
    <w:rsid w:val="00C749E0"/>
    <w:rsid w:val="00CB0664"/>
    <w:rsid w:val="00D5368E"/>
    <w:rsid w:val="00E06C57"/>
    <w:rsid w:val="00E452B1"/>
    <w:rsid w:val="00EA50F7"/>
    <w:rsid w:val="00F73177"/>
    <w:rsid w:val="00F859C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6B7ECB"/>
  <w14:defaultImageDpi w14:val="300"/>
  <w15:docId w15:val="{3A7B557F-23BD-9945-86C9-678F21FD8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onotapie">
    <w:name w:val="footnote text"/>
    <w:basedOn w:val="Normal"/>
    <w:link w:val="TextonotapieCar"/>
    <w:uiPriority w:val="99"/>
    <w:semiHidden/>
    <w:unhideWhenUsed/>
    <w:rsid w:val="00414A0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414A02"/>
    <w:rPr>
      <w:sz w:val="20"/>
      <w:szCs w:val="20"/>
    </w:rPr>
  </w:style>
  <w:style w:type="character" w:styleId="Refdenotaalpie">
    <w:name w:val="footnote reference"/>
    <w:basedOn w:val="Fuentedeprrafopredeter"/>
    <w:uiPriority w:val="99"/>
    <w:semiHidden/>
    <w:unhideWhenUsed/>
    <w:rsid w:val="00414A02"/>
    <w:rPr>
      <w:vertAlign w:val="superscript"/>
    </w:rPr>
  </w:style>
  <w:style w:type="character" w:styleId="Hipervnculo">
    <w:name w:val="Hyperlink"/>
    <w:basedOn w:val="Fuentedeprrafopredeter"/>
    <w:uiPriority w:val="99"/>
    <w:unhideWhenUsed/>
    <w:rsid w:val="00D5368E"/>
    <w:rPr>
      <w:color w:val="0000FF" w:themeColor="hyperlink"/>
      <w:u w:val="single"/>
    </w:rPr>
  </w:style>
  <w:style w:type="character" w:styleId="Mencinsinresolver">
    <w:name w:val="Unresolved Mention"/>
    <w:basedOn w:val="Fuentedeprrafopredeter"/>
    <w:uiPriority w:val="99"/>
    <w:semiHidden/>
    <w:unhideWhenUsed/>
    <w:rsid w:val="00D5368E"/>
    <w:rPr>
      <w:color w:val="605E5C"/>
      <w:shd w:val="clear" w:color="auto" w:fill="E1DFDD"/>
    </w:rPr>
  </w:style>
  <w:style w:type="paragraph" w:styleId="NormalWeb">
    <w:name w:val="Normal (Web)"/>
    <w:basedOn w:val="Normal"/>
    <w:uiPriority w:val="99"/>
    <w:semiHidden/>
    <w:unhideWhenUsed/>
    <w:rsid w:val="0055041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x.doi.org/10.31619/caledu.n52.766"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oi.org/10.4067/S0718-07052017000100018" TargetMode="External"/><Relationship Id="rId4" Type="http://schemas.openxmlformats.org/officeDocument/2006/relationships/settings" Target="settings.xml"/><Relationship Id="rId9" Type="http://schemas.openxmlformats.org/officeDocument/2006/relationships/hyperlink" Target="https://revistas.udp.cl/index.php/cogency/article/view/235"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808</TotalTime>
  <Pages>8</Pages>
  <Words>1991</Words>
  <Characters>10956</Characters>
  <Application>Microsoft Office Word</Application>
  <DocSecurity>0</DocSecurity>
  <Lines>91</Lines>
  <Paragraphs>25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12922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María Verónica Strocchi Santos</cp:lastModifiedBy>
  <cp:revision>10</cp:revision>
  <cp:lastPrinted>2026-03-21T23:24:00Z</cp:lastPrinted>
  <dcterms:created xsi:type="dcterms:W3CDTF">2026-03-05T16:28:00Z</dcterms:created>
  <dcterms:modified xsi:type="dcterms:W3CDTF">2026-03-25T20:56:00Z</dcterms:modified>
  <cp:category/>
</cp:coreProperties>
</file>