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90A00" w14:textId="77777777" w:rsidR="00414A02" w:rsidRDefault="00414A02">
      <w:pPr>
        <w:spacing w:line="360" w:lineRule="auto"/>
        <w:jc w:val="center"/>
        <w:rPr>
          <w:rFonts w:ascii="Arial" w:eastAsia="Arial" w:hAnsi="Arial"/>
          <w:b/>
          <w:sz w:val="28"/>
          <w:lang w:val="es-AR"/>
        </w:rPr>
      </w:pPr>
    </w:p>
    <w:p w14:paraId="00C15DDF" w14:textId="77777777" w:rsidR="00414A02" w:rsidRDefault="00414A02">
      <w:pPr>
        <w:spacing w:line="360" w:lineRule="auto"/>
        <w:jc w:val="center"/>
        <w:rPr>
          <w:rFonts w:ascii="Arial" w:eastAsia="Arial" w:hAnsi="Arial"/>
          <w:b/>
          <w:sz w:val="28"/>
          <w:lang w:val="es-BO"/>
        </w:rPr>
      </w:pPr>
    </w:p>
    <w:p w14:paraId="130AAAD3" w14:textId="77777777" w:rsidR="009567C0" w:rsidRPr="009567C0" w:rsidRDefault="009567C0" w:rsidP="009567C0">
      <w:pPr>
        <w:spacing w:after="100" w:afterAutospacing="1" w:line="360" w:lineRule="auto"/>
        <w:jc w:val="both"/>
        <w:outlineLvl w:val="2"/>
        <w:rPr>
          <w:rFonts w:ascii="Arial" w:eastAsia="Times New Roman" w:hAnsi="Arial" w:cs="Arial"/>
          <w:b/>
          <w:bCs/>
          <w:sz w:val="24"/>
          <w:szCs w:val="24"/>
          <w:lang w:val="es-BO" w:eastAsia="es-BO"/>
        </w:rPr>
      </w:pPr>
      <w:r w:rsidRPr="009567C0">
        <w:rPr>
          <w:rFonts w:ascii="Arial" w:eastAsia="Times New Roman" w:hAnsi="Arial" w:cs="Arial"/>
          <w:b/>
          <w:bCs/>
          <w:sz w:val="24"/>
          <w:szCs w:val="24"/>
          <w:lang w:val="es-BO" w:eastAsia="es-BO"/>
        </w:rPr>
        <w:t>Resumen para las VIII JIEC</w:t>
      </w:r>
    </w:p>
    <w:p w14:paraId="1B482570" w14:textId="77777777" w:rsidR="009567C0" w:rsidRPr="009567C0" w:rsidRDefault="009567C0" w:rsidP="009567C0">
      <w:pPr>
        <w:spacing w:after="100" w:afterAutospacing="1" w:line="360" w:lineRule="auto"/>
        <w:rPr>
          <w:rFonts w:ascii="Arial" w:eastAsia="Times New Roman" w:hAnsi="Arial" w:cs="Arial"/>
          <w:sz w:val="24"/>
          <w:szCs w:val="24"/>
          <w:lang w:val="es-BO" w:eastAsia="es-BO"/>
        </w:rPr>
      </w:pPr>
      <w:r w:rsidRPr="009567C0">
        <w:rPr>
          <w:rFonts w:ascii="Arial" w:eastAsia="Times New Roman" w:hAnsi="Arial" w:cs="Arial"/>
          <w:b/>
          <w:bCs/>
          <w:sz w:val="24"/>
          <w:szCs w:val="24"/>
          <w:lang w:val="es-BO" w:eastAsia="es-BO"/>
        </w:rPr>
        <w:t>Título:</w:t>
      </w:r>
      <w:r w:rsidRPr="009567C0">
        <w:rPr>
          <w:rFonts w:ascii="Arial" w:eastAsia="Times New Roman" w:hAnsi="Arial" w:cs="Arial"/>
          <w:sz w:val="24"/>
          <w:szCs w:val="24"/>
          <w:lang w:val="es-BO" w:eastAsia="es-BO"/>
        </w:rPr>
        <w:t xml:space="preserve"> Identidades en borrador: literacidades académicas y los tres modos de ser biólogo/a</w:t>
      </w:r>
    </w:p>
    <w:p w14:paraId="39D109C9" w14:textId="77777777" w:rsidR="009567C0" w:rsidRPr="009567C0" w:rsidRDefault="009567C0" w:rsidP="009567C0">
      <w:pPr>
        <w:spacing w:after="100" w:afterAutospacing="1" w:line="360" w:lineRule="auto"/>
        <w:rPr>
          <w:rFonts w:ascii="Arial" w:eastAsia="Times New Roman" w:hAnsi="Arial" w:cs="Arial"/>
          <w:sz w:val="24"/>
          <w:szCs w:val="24"/>
          <w:lang w:val="en-GB" w:eastAsia="es-BO"/>
        </w:rPr>
      </w:pPr>
      <w:r w:rsidRPr="009567C0">
        <w:rPr>
          <w:rFonts w:ascii="Arial" w:eastAsia="Times New Roman" w:hAnsi="Arial" w:cs="Arial"/>
          <w:b/>
          <w:bCs/>
          <w:sz w:val="24"/>
          <w:szCs w:val="24"/>
          <w:lang w:val="en-GB" w:eastAsia="es-BO"/>
        </w:rPr>
        <w:t>Title:</w:t>
      </w:r>
      <w:r w:rsidRPr="009567C0">
        <w:rPr>
          <w:rFonts w:ascii="Arial" w:eastAsia="Times New Roman" w:hAnsi="Arial" w:cs="Arial"/>
          <w:sz w:val="24"/>
          <w:szCs w:val="24"/>
          <w:lang w:val="en-GB" w:eastAsia="es-BO"/>
        </w:rPr>
        <w:t xml:space="preserve"> Identities in draft: academic literacies and the three modes of being a biologist</w:t>
      </w:r>
    </w:p>
    <w:p w14:paraId="23714487" w14:textId="77777777" w:rsidR="009567C0" w:rsidRDefault="009567C0" w:rsidP="009567C0">
      <w:pPr>
        <w:spacing w:after="100" w:afterAutospacing="1" w:line="360" w:lineRule="auto"/>
        <w:rPr>
          <w:rFonts w:ascii="Arial" w:eastAsia="Times New Roman" w:hAnsi="Arial" w:cs="Arial"/>
          <w:sz w:val="24"/>
          <w:szCs w:val="24"/>
          <w:lang w:val="es-BO" w:eastAsia="es-BO"/>
        </w:rPr>
      </w:pPr>
      <w:r w:rsidRPr="009567C0">
        <w:rPr>
          <w:rFonts w:ascii="Arial" w:eastAsia="Times New Roman" w:hAnsi="Arial" w:cs="Arial"/>
          <w:b/>
          <w:bCs/>
          <w:sz w:val="24"/>
          <w:szCs w:val="24"/>
          <w:lang w:val="es-BO" w:eastAsia="es-BO"/>
        </w:rPr>
        <w:t>Título:</w:t>
      </w:r>
      <w:r w:rsidRPr="009567C0">
        <w:rPr>
          <w:rFonts w:ascii="Arial" w:eastAsia="Times New Roman" w:hAnsi="Arial" w:cs="Arial"/>
          <w:sz w:val="24"/>
          <w:szCs w:val="24"/>
          <w:lang w:val="es-BO" w:eastAsia="es-BO"/>
        </w:rPr>
        <w:t xml:space="preserve"> Identidades em rascunho: letramentos acadêmicos e os três modos de ser biólogo</w:t>
      </w:r>
    </w:p>
    <w:p w14:paraId="12B92868" w14:textId="47F58A68" w:rsidR="009567C0" w:rsidRPr="009567C0" w:rsidRDefault="009567C0" w:rsidP="009567C0">
      <w:pPr>
        <w:spacing w:after="100" w:afterAutospacing="1" w:line="360" w:lineRule="auto"/>
        <w:rPr>
          <w:rFonts w:ascii="Arial" w:eastAsia="Times New Roman" w:hAnsi="Arial" w:cs="Arial"/>
          <w:sz w:val="24"/>
          <w:szCs w:val="24"/>
          <w:lang w:val="es-BO" w:eastAsia="es-BO"/>
        </w:rPr>
      </w:pPr>
      <w:r>
        <w:rPr>
          <w:rFonts w:ascii="Arial" w:eastAsia="Times New Roman" w:hAnsi="Arial" w:cs="Arial"/>
          <w:sz w:val="24"/>
          <w:szCs w:val="24"/>
          <w:lang w:val="es-BO" w:eastAsia="es-BO"/>
        </w:rPr>
        <w:t>Autor:1</w:t>
      </w:r>
    </w:p>
    <w:p w14:paraId="6B89DC51" w14:textId="77777777" w:rsidR="009567C0" w:rsidRDefault="009567C0" w:rsidP="009567C0">
      <w:pPr>
        <w:spacing w:after="100" w:afterAutospacing="1" w:line="360" w:lineRule="auto"/>
        <w:jc w:val="both"/>
        <w:rPr>
          <w:rFonts w:ascii="Arial" w:eastAsia="Times New Roman" w:hAnsi="Arial" w:cs="Arial"/>
          <w:sz w:val="24"/>
          <w:szCs w:val="24"/>
          <w:lang w:val="es-BO" w:eastAsia="es-BO"/>
        </w:rPr>
      </w:pPr>
      <w:r w:rsidRPr="009567C0">
        <w:rPr>
          <w:rFonts w:ascii="Arial" w:eastAsia="Times New Roman" w:hAnsi="Arial" w:cs="Arial"/>
          <w:b/>
          <w:bCs/>
          <w:sz w:val="24"/>
          <w:szCs w:val="24"/>
          <w:lang w:val="es-BO" w:eastAsia="es-BO"/>
        </w:rPr>
        <w:t>Eje temático:</w:t>
      </w:r>
      <w:r w:rsidRPr="009567C0">
        <w:rPr>
          <w:rFonts w:ascii="Arial" w:eastAsia="Times New Roman" w:hAnsi="Arial" w:cs="Arial"/>
          <w:sz w:val="24"/>
          <w:szCs w:val="24"/>
          <w:lang w:val="es-BO" w:eastAsia="es-BO"/>
        </w:rPr>
        <w:t xml:space="preserve"> Mesa 4. Prácticas letradas en la formación de grado y posgrado. </w:t>
      </w:r>
    </w:p>
    <w:p w14:paraId="4B5EC715" w14:textId="31CB9E6F" w:rsidR="009567C0" w:rsidRPr="009567C0" w:rsidRDefault="009567C0" w:rsidP="009567C0">
      <w:pPr>
        <w:spacing w:after="100" w:afterAutospacing="1" w:line="360" w:lineRule="auto"/>
        <w:jc w:val="both"/>
        <w:rPr>
          <w:rFonts w:ascii="Arial" w:eastAsia="Times New Roman" w:hAnsi="Arial" w:cs="Arial"/>
          <w:sz w:val="24"/>
          <w:szCs w:val="24"/>
          <w:lang w:val="es-BO" w:eastAsia="es-BO"/>
        </w:rPr>
      </w:pPr>
      <w:r w:rsidRPr="009567C0">
        <w:rPr>
          <w:rFonts w:ascii="Arial" w:eastAsia="Times New Roman" w:hAnsi="Arial" w:cs="Arial"/>
          <w:b/>
          <w:bCs/>
          <w:sz w:val="24"/>
          <w:szCs w:val="24"/>
          <w:lang w:val="es-BO" w:eastAsia="es-BO"/>
        </w:rPr>
        <w:t>Palabras clave:</w:t>
      </w:r>
      <w:r w:rsidRPr="009567C0">
        <w:rPr>
          <w:rFonts w:ascii="Arial" w:eastAsia="Times New Roman" w:hAnsi="Arial" w:cs="Arial"/>
          <w:sz w:val="24"/>
          <w:szCs w:val="24"/>
          <w:lang w:val="es-BO" w:eastAsia="es-BO"/>
        </w:rPr>
        <w:t xml:space="preserve"> Literacidad situada, Identidad profesional, Biología, Agencia, Trabajo Final de Licenciatura. </w:t>
      </w:r>
    </w:p>
    <w:p w14:paraId="0E085AE1" w14:textId="77777777" w:rsidR="009567C0" w:rsidRPr="009567C0" w:rsidRDefault="009567C0" w:rsidP="009567C0">
      <w:pPr>
        <w:spacing w:after="100" w:afterAutospacing="1" w:line="360" w:lineRule="auto"/>
        <w:jc w:val="both"/>
        <w:rPr>
          <w:rFonts w:ascii="Arial" w:eastAsia="Times New Roman" w:hAnsi="Arial" w:cs="Arial"/>
          <w:sz w:val="24"/>
          <w:szCs w:val="24"/>
          <w:lang w:val="en-GB" w:eastAsia="es-BO"/>
        </w:rPr>
      </w:pPr>
      <w:r w:rsidRPr="009567C0">
        <w:rPr>
          <w:rFonts w:ascii="Arial" w:eastAsia="Times New Roman" w:hAnsi="Arial" w:cs="Arial"/>
          <w:b/>
          <w:bCs/>
          <w:sz w:val="24"/>
          <w:szCs w:val="24"/>
          <w:lang w:val="en-GB" w:eastAsia="es-BO"/>
        </w:rPr>
        <w:t>Keywords:</w:t>
      </w:r>
      <w:r w:rsidRPr="009567C0">
        <w:rPr>
          <w:rFonts w:ascii="Arial" w:eastAsia="Times New Roman" w:hAnsi="Arial" w:cs="Arial"/>
          <w:sz w:val="24"/>
          <w:szCs w:val="24"/>
          <w:lang w:val="en-GB" w:eastAsia="es-BO"/>
        </w:rPr>
        <w:t xml:space="preserve"> Situated literacy, Professional identity, Biology, Agency, Undergraduate Thesis. </w:t>
      </w:r>
    </w:p>
    <w:p w14:paraId="719332F1" w14:textId="77777777" w:rsidR="009567C0" w:rsidRPr="009567C0" w:rsidRDefault="009567C0" w:rsidP="009567C0">
      <w:pPr>
        <w:spacing w:after="100" w:afterAutospacing="1" w:line="360" w:lineRule="auto"/>
        <w:jc w:val="both"/>
        <w:rPr>
          <w:rFonts w:ascii="Arial" w:eastAsia="Times New Roman" w:hAnsi="Arial" w:cs="Arial"/>
          <w:sz w:val="24"/>
          <w:szCs w:val="24"/>
          <w:highlight w:val="yellow"/>
          <w:lang w:val="es-BO" w:eastAsia="es-BO"/>
        </w:rPr>
      </w:pPr>
      <w:r w:rsidRPr="009567C0">
        <w:rPr>
          <w:rFonts w:ascii="Arial" w:eastAsia="Times New Roman" w:hAnsi="Arial" w:cs="Arial"/>
          <w:b/>
          <w:bCs/>
          <w:sz w:val="24"/>
          <w:szCs w:val="24"/>
          <w:lang w:val="es-BO" w:eastAsia="es-BO"/>
        </w:rPr>
        <w:t>Palavras-chave:</w:t>
      </w:r>
      <w:r w:rsidRPr="009567C0">
        <w:rPr>
          <w:rFonts w:ascii="Arial" w:eastAsia="Times New Roman" w:hAnsi="Arial" w:cs="Arial"/>
          <w:sz w:val="24"/>
          <w:szCs w:val="24"/>
          <w:lang w:val="es-BO" w:eastAsia="es-BO"/>
        </w:rPr>
        <w:t xml:space="preserve"> Letramento situado, Identidade profissional, Biologia, Agência, Trabalho de Conclusão de Curso</w:t>
      </w:r>
    </w:p>
    <w:p w14:paraId="37163326" w14:textId="77777777" w:rsidR="009567C0" w:rsidRPr="009567C0" w:rsidRDefault="009567C0" w:rsidP="009567C0">
      <w:pPr>
        <w:spacing w:after="100" w:afterAutospacing="1" w:line="360" w:lineRule="auto"/>
        <w:jc w:val="both"/>
        <w:outlineLvl w:val="3"/>
        <w:rPr>
          <w:rFonts w:ascii="Arial" w:eastAsia="Times New Roman" w:hAnsi="Arial" w:cs="Arial"/>
          <w:b/>
          <w:bCs/>
          <w:sz w:val="24"/>
          <w:szCs w:val="24"/>
          <w:lang w:val="es-BO" w:eastAsia="es-BO"/>
        </w:rPr>
      </w:pPr>
      <w:r w:rsidRPr="009567C0">
        <w:rPr>
          <w:rFonts w:ascii="Arial" w:eastAsia="Times New Roman" w:hAnsi="Arial" w:cs="Arial"/>
          <w:b/>
          <w:bCs/>
          <w:sz w:val="24"/>
          <w:szCs w:val="24"/>
          <w:lang w:val="es-BO" w:eastAsia="es-BO"/>
        </w:rPr>
        <w:t>Resumen</w:t>
      </w:r>
    </w:p>
    <w:p w14:paraId="20020D76" w14:textId="77777777" w:rsidR="009567C0" w:rsidRDefault="009567C0" w:rsidP="009567C0">
      <w:pPr>
        <w:spacing w:line="360" w:lineRule="auto"/>
        <w:jc w:val="both"/>
        <w:outlineLvl w:val="3"/>
        <w:rPr>
          <w:rFonts w:ascii="Arial" w:eastAsia="Times New Roman" w:hAnsi="Arial" w:cs="Arial"/>
          <w:sz w:val="24"/>
          <w:szCs w:val="24"/>
          <w:lang w:val="es-BO" w:eastAsia="es-BO"/>
        </w:rPr>
      </w:pPr>
      <w:r w:rsidRPr="009567C0">
        <w:rPr>
          <w:rFonts w:ascii="Arial" w:eastAsia="Times New Roman" w:hAnsi="Arial" w:cs="Arial"/>
          <w:sz w:val="24"/>
          <w:szCs w:val="24"/>
          <w:lang w:val="es-BO" w:eastAsia="es-BO"/>
        </w:rPr>
        <w:t xml:space="preserve">El proyecto de investigación </w:t>
      </w:r>
      <w:r w:rsidRPr="009567C0">
        <w:rPr>
          <w:rFonts w:ascii="Arial" w:eastAsia="Times New Roman" w:hAnsi="Arial" w:cs="Arial"/>
          <w:i/>
          <w:iCs/>
          <w:sz w:val="24"/>
          <w:szCs w:val="24"/>
          <w:lang w:val="es-BO" w:eastAsia="es-BO"/>
        </w:rPr>
        <w:t>Prácticas de escritura académicas y profesionales en ciencias naturales: estudio de una licenciatura en Biología</w:t>
      </w:r>
      <w:r w:rsidRPr="009567C0">
        <w:rPr>
          <w:rFonts w:ascii="Arial" w:eastAsia="Times New Roman" w:hAnsi="Arial" w:cs="Arial"/>
          <w:sz w:val="24"/>
          <w:szCs w:val="24"/>
          <w:lang w:val="es-BO" w:eastAsia="es-BO"/>
        </w:rPr>
        <w:t xml:space="preserve"> (PIDUNTDF A1-03/2022) buscó aportar al conocimiento de los géneros discursivos en la disciplina biología atendiendo tanto al ámbito de la formación de grado como al desempeño profesional. Desde la perspectiva teórica crítica de los nuevos estudios de literacidad académica que entiende la escritura como práctica social situada (</w:t>
      </w:r>
      <w:r w:rsidRPr="009567C0">
        <w:rPr>
          <w:rFonts w:ascii="Arial" w:hAnsi="Arial" w:cs="Arial"/>
          <w:sz w:val="24"/>
          <w:szCs w:val="24"/>
          <w:lang w:val="es-BO"/>
        </w:rPr>
        <w:t xml:space="preserve">Barton y Hamilton, 2004) </w:t>
      </w:r>
      <w:r w:rsidRPr="009567C0">
        <w:rPr>
          <w:rFonts w:ascii="Arial" w:eastAsia="Times New Roman" w:hAnsi="Arial" w:cs="Arial"/>
          <w:sz w:val="24"/>
          <w:szCs w:val="24"/>
          <w:lang w:val="es-BO" w:eastAsia="es-BO"/>
        </w:rPr>
        <w:t xml:space="preserve">desde una </w:t>
      </w:r>
    </w:p>
    <w:p w14:paraId="53E142BB" w14:textId="77777777" w:rsidR="009567C0" w:rsidRDefault="009567C0" w:rsidP="009567C0">
      <w:pPr>
        <w:spacing w:line="360" w:lineRule="auto"/>
        <w:jc w:val="both"/>
        <w:outlineLvl w:val="3"/>
        <w:rPr>
          <w:rFonts w:ascii="Arial" w:eastAsia="Times New Roman" w:hAnsi="Arial" w:cs="Arial"/>
          <w:sz w:val="24"/>
          <w:szCs w:val="24"/>
          <w:lang w:val="es-BO" w:eastAsia="es-BO"/>
        </w:rPr>
      </w:pPr>
    </w:p>
    <w:p w14:paraId="70DCBC4C" w14:textId="77777777" w:rsidR="009567C0" w:rsidRDefault="009567C0" w:rsidP="009567C0">
      <w:pPr>
        <w:spacing w:line="360" w:lineRule="auto"/>
        <w:jc w:val="both"/>
        <w:outlineLvl w:val="3"/>
        <w:rPr>
          <w:rFonts w:ascii="Arial" w:eastAsia="Times New Roman" w:hAnsi="Arial" w:cs="Arial"/>
          <w:sz w:val="24"/>
          <w:szCs w:val="24"/>
          <w:lang w:val="es-BO" w:eastAsia="es-BO"/>
        </w:rPr>
      </w:pPr>
    </w:p>
    <w:p w14:paraId="69B50C59" w14:textId="517D92E9" w:rsidR="009567C0" w:rsidRPr="009567C0" w:rsidRDefault="009567C0" w:rsidP="009567C0">
      <w:pPr>
        <w:spacing w:line="360" w:lineRule="auto"/>
        <w:jc w:val="both"/>
        <w:outlineLvl w:val="3"/>
        <w:rPr>
          <w:rFonts w:ascii="Arial" w:eastAsia="Times New Roman" w:hAnsi="Arial" w:cs="Arial"/>
          <w:sz w:val="24"/>
          <w:szCs w:val="24"/>
          <w:lang w:val="es-BO" w:eastAsia="es-BO"/>
        </w:rPr>
      </w:pPr>
      <w:r w:rsidRPr="009567C0">
        <w:rPr>
          <w:rFonts w:ascii="Arial" w:eastAsia="Times New Roman" w:hAnsi="Arial" w:cs="Arial"/>
          <w:sz w:val="24"/>
          <w:szCs w:val="24"/>
          <w:lang w:val="es-BO" w:eastAsia="es-BO"/>
        </w:rPr>
        <w:t>mirada crítica (Zavala, 2026), se realizó un abordaje etnográfico (Lillis, 2024) para caracterizar el entramado institucional y los sujetos que participan de las prácticas letradas, e identificar el repertorio de géneros que circulan y se producen a lo largo de la carrera. La presente ponencia se focaliza específicamente en la reconstrucción y análisis de los perfiles de graduados/as de la Licenciatura en Biología de la UNTDF, indagando cómo las prácticas de literacidad institucionalizadas moldean la identidad profesional en un contexto territorial concreto. El objetivo es describir las tensiones y continuidades entre la escritura del Trabajo Final de la Licenciatura en Biología (TFLB) —entendido como un “rito de pasaje” (Delory-Momberger, 2014)— y las demandas discursivas del mundo laboral e investigativo en la región. Se utiliza el concepto de "biografización" (Delory-Momberger, 2014) para analizar cómo los sujetos narran su trayectoria a través de la</w:t>
      </w:r>
      <w:r>
        <w:rPr>
          <w:rFonts w:ascii="Arial" w:eastAsia="Times New Roman" w:hAnsi="Arial" w:cs="Arial"/>
          <w:sz w:val="24"/>
          <w:szCs w:val="24"/>
          <w:lang w:val="es-BO" w:eastAsia="es-BO"/>
        </w:rPr>
        <w:t xml:space="preserve"> </w:t>
      </w:r>
      <w:r w:rsidRPr="009567C0">
        <w:rPr>
          <w:rFonts w:ascii="Arial" w:eastAsia="Times New Roman" w:hAnsi="Arial" w:cs="Arial"/>
          <w:sz w:val="24"/>
          <w:szCs w:val="24"/>
          <w:lang w:val="es-BO" w:eastAsia="es-BO"/>
        </w:rPr>
        <w:t xml:space="preserve">escritura. Asimismo, se incorpora la noción de agencia (Zavala, 2011) para observar cómo el estudiantado asume el control de sus textos y negocia sus intereses personales frente a las regulaciones institucionales y las normativas que rigen el género TFLB. </w:t>
      </w:r>
    </w:p>
    <w:p w14:paraId="6A2509D7" w14:textId="77777777" w:rsidR="002E5BAB" w:rsidRDefault="009567C0" w:rsidP="009567C0">
      <w:pPr>
        <w:spacing w:line="360" w:lineRule="auto"/>
        <w:jc w:val="both"/>
        <w:rPr>
          <w:rFonts w:ascii="Arial" w:eastAsia="Times New Roman" w:hAnsi="Arial" w:cs="Arial"/>
          <w:sz w:val="24"/>
          <w:szCs w:val="24"/>
          <w:lang w:val="es-BO" w:eastAsia="es-BO"/>
        </w:rPr>
      </w:pPr>
      <w:r w:rsidRPr="009567C0">
        <w:rPr>
          <w:rFonts w:ascii="Arial" w:eastAsia="Times New Roman" w:hAnsi="Arial" w:cs="Arial"/>
          <w:sz w:val="24"/>
          <w:szCs w:val="24"/>
          <w:lang w:val="es-BO" w:eastAsia="es-BO"/>
        </w:rPr>
        <w:t>Se utilizó un diseño cualitativo con perspectiva etnográfica que puso en diálogo diversas fuentes: encuestas realizadas a la totalidad de graduados/as para identificar ámbitos de desempeño y géneros discursivos predominantes;</w:t>
      </w:r>
      <w:r w:rsidRPr="009567C0">
        <w:rPr>
          <w:rFonts w:ascii="Arial" w:eastAsia="Times New Roman" w:hAnsi="Arial" w:cs="Arial"/>
          <w:b/>
          <w:bCs/>
          <w:sz w:val="24"/>
          <w:szCs w:val="24"/>
          <w:lang w:val="es-BO" w:eastAsia="es-BO"/>
        </w:rPr>
        <w:t xml:space="preserve"> </w:t>
      </w:r>
      <w:r w:rsidRPr="009567C0">
        <w:rPr>
          <w:rFonts w:ascii="Arial" w:eastAsia="Times New Roman" w:hAnsi="Arial" w:cs="Arial"/>
          <w:sz w:val="24"/>
          <w:szCs w:val="24"/>
          <w:lang w:val="es-BO" w:eastAsia="es-BO"/>
        </w:rPr>
        <w:t>entrevistas semiestructuradas</w:t>
      </w:r>
      <w:r w:rsidRPr="009567C0">
        <w:rPr>
          <w:rFonts w:ascii="Arial" w:eastAsia="Times New Roman" w:hAnsi="Arial" w:cs="Arial"/>
          <w:b/>
          <w:bCs/>
          <w:sz w:val="24"/>
          <w:szCs w:val="24"/>
          <w:lang w:val="es-BO" w:eastAsia="es-BO"/>
        </w:rPr>
        <w:t xml:space="preserve"> </w:t>
      </w:r>
      <w:r w:rsidRPr="009567C0">
        <w:rPr>
          <w:rFonts w:ascii="Arial" w:eastAsia="Times New Roman" w:hAnsi="Arial" w:cs="Arial"/>
          <w:sz w:val="24"/>
          <w:szCs w:val="24"/>
          <w:lang w:val="es-BO" w:eastAsia="es-BO"/>
        </w:rPr>
        <w:t xml:space="preserve">en profundidad de casos representativos para rastrear trayectorias, agencias y representaciones sobre la escritura. Posteriormente, se llevó a cabo la triangulación de datos cualitativos y cuantitativos para reconstruir los perfiles identitarios. </w:t>
      </w:r>
    </w:p>
    <w:p w14:paraId="33408235" w14:textId="585FB163" w:rsidR="009567C0" w:rsidRDefault="009567C0" w:rsidP="009567C0">
      <w:pPr>
        <w:spacing w:line="360" w:lineRule="auto"/>
        <w:jc w:val="both"/>
        <w:rPr>
          <w:rFonts w:ascii="Arial" w:eastAsia="Times New Roman" w:hAnsi="Arial" w:cs="Arial"/>
          <w:sz w:val="24"/>
          <w:szCs w:val="24"/>
          <w:lang w:val="es-BO" w:eastAsia="es-BO"/>
        </w:rPr>
      </w:pPr>
      <w:r w:rsidRPr="009567C0">
        <w:rPr>
          <w:rFonts w:ascii="Arial" w:eastAsia="Times New Roman" w:hAnsi="Arial" w:cs="Arial"/>
          <w:sz w:val="24"/>
          <w:szCs w:val="24"/>
          <w:lang w:val="es-BO" w:eastAsia="es-BO"/>
        </w:rPr>
        <w:t xml:space="preserve">El análisis permitió identificar tres grandes dimensiones o modos de producción escrita que definen el perfil de la/el bióloga/o en la región: un primer perfil académico-científico predominante centrado en la investigación, con predominio de la lectura y la escritura de </w:t>
      </w:r>
    </w:p>
    <w:p w14:paraId="632F5D96" w14:textId="77777777" w:rsidR="009567C0" w:rsidRDefault="009567C0" w:rsidP="009567C0">
      <w:pPr>
        <w:spacing w:line="360" w:lineRule="auto"/>
        <w:jc w:val="both"/>
        <w:rPr>
          <w:rFonts w:ascii="Arial" w:eastAsia="Times New Roman" w:hAnsi="Arial" w:cs="Arial"/>
          <w:sz w:val="24"/>
          <w:szCs w:val="24"/>
          <w:lang w:val="es-BO" w:eastAsia="es-BO"/>
        </w:rPr>
      </w:pPr>
    </w:p>
    <w:p w14:paraId="74EEC19E" w14:textId="77777777" w:rsidR="009567C0" w:rsidRDefault="009567C0" w:rsidP="009567C0">
      <w:pPr>
        <w:spacing w:line="360" w:lineRule="auto"/>
        <w:jc w:val="both"/>
        <w:rPr>
          <w:rFonts w:ascii="Arial" w:eastAsia="Times New Roman" w:hAnsi="Arial" w:cs="Arial"/>
          <w:sz w:val="24"/>
          <w:szCs w:val="24"/>
          <w:lang w:val="es-BO" w:eastAsia="es-BO"/>
        </w:rPr>
      </w:pPr>
    </w:p>
    <w:p w14:paraId="7611A33E" w14:textId="77777777" w:rsidR="009567C0" w:rsidRDefault="009567C0" w:rsidP="009567C0">
      <w:pPr>
        <w:spacing w:line="360" w:lineRule="auto"/>
        <w:jc w:val="both"/>
        <w:rPr>
          <w:rFonts w:ascii="Arial" w:eastAsia="Times New Roman" w:hAnsi="Arial" w:cs="Arial"/>
          <w:sz w:val="24"/>
          <w:szCs w:val="24"/>
          <w:lang w:val="es-BO" w:eastAsia="es-BO"/>
        </w:rPr>
      </w:pPr>
    </w:p>
    <w:p w14:paraId="13111998" w14:textId="77777777" w:rsidR="002E5BAB" w:rsidRDefault="002E5BAB" w:rsidP="009567C0">
      <w:pPr>
        <w:spacing w:line="360" w:lineRule="auto"/>
        <w:jc w:val="both"/>
        <w:rPr>
          <w:rFonts w:ascii="Arial" w:eastAsia="Times New Roman" w:hAnsi="Arial" w:cs="Arial"/>
          <w:sz w:val="24"/>
          <w:szCs w:val="24"/>
          <w:lang w:val="es-BO" w:eastAsia="es-BO"/>
        </w:rPr>
      </w:pPr>
    </w:p>
    <w:p w14:paraId="7C4FF714" w14:textId="77777777" w:rsidR="002E5BAB" w:rsidRDefault="002E5BAB" w:rsidP="009567C0">
      <w:pPr>
        <w:spacing w:line="360" w:lineRule="auto"/>
        <w:jc w:val="both"/>
        <w:rPr>
          <w:rFonts w:ascii="Arial" w:eastAsia="Times New Roman" w:hAnsi="Arial" w:cs="Arial"/>
          <w:sz w:val="24"/>
          <w:szCs w:val="24"/>
          <w:lang w:val="es-BO" w:eastAsia="es-BO"/>
        </w:rPr>
      </w:pPr>
    </w:p>
    <w:p w14:paraId="76C4429B" w14:textId="120F9EE8" w:rsidR="009567C0" w:rsidRPr="009567C0" w:rsidRDefault="009567C0" w:rsidP="009567C0">
      <w:pPr>
        <w:spacing w:line="360" w:lineRule="auto"/>
        <w:jc w:val="both"/>
        <w:rPr>
          <w:rFonts w:ascii="Arial" w:eastAsia="Times New Roman" w:hAnsi="Arial" w:cs="Arial"/>
          <w:sz w:val="24"/>
          <w:szCs w:val="24"/>
          <w:lang w:val="es-BO" w:eastAsia="es-BO"/>
        </w:rPr>
      </w:pPr>
      <w:r w:rsidRPr="009567C0">
        <w:rPr>
          <w:rFonts w:ascii="Arial" w:eastAsia="Times New Roman" w:hAnsi="Arial" w:cs="Arial"/>
          <w:sz w:val="24"/>
          <w:szCs w:val="24"/>
          <w:lang w:val="es-BO" w:eastAsia="es-BO"/>
        </w:rPr>
        <w:t>artículos científicos, frecuentemente en inglés</w:t>
      </w:r>
      <w:r w:rsidRPr="009567C0">
        <w:rPr>
          <w:rFonts w:ascii="Arial" w:eastAsia="Times New Roman" w:hAnsi="Arial" w:cs="Arial"/>
          <w:b/>
          <w:bCs/>
          <w:sz w:val="24"/>
          <w:szCs w:val="24"/>
          <w:lang w:val="es-BO" w:eastAsia="es-BO"/>
        </w:rPr>
        <w:t xml:space="preserve">; </w:t>
      </w:r>
      <w:r w:rsidRPr="009567C0">
        <w:rPr>
          <w:rFonts w:ascii="Arial" w:eastAsia="Times New Roman" w:hAnsi="Arial" w:cs="Arial"/>
          <w:sz w:val="24"/>
          <w:szCs w:val="24"/>
          <w:lang w:val="es-BO" w:eastAsia="es-BO"/>
        </w:rPr>
        <w:t>un segundo perfil orientado a la gestión pública con una fuerte demanda de literacidad vinculada a lo administrativo y normativo (leyes, decretos y resoluciones); y, finalmente, un perfil técnico enfocado en la consultoría que se</w:t>
      </w:r>
      <w:r w:rsidRPr="009567C0">
        <w:rPr>
          <w:rFonts w:ascii="Arial" w:eastAsia="Times New Roman" w:hAnsi="Arial" w:cs="Arial"/>
          <w:b/>
          <w:bCs/>
          <w:sz w:val="24"/>
          <w:szCs w:val="24"/>
          <w:lang w:val="es-BO" w:eastAsia="es-BO"/>
        </w:rPr>
        <w:t xml:space="preserve"> </w:t>
      </w:r>
      <w:r w:rsidRPr="009567C0">
        <w:rPr>
          <w:rFonts w:ascii="Arial" w:eastAsia="Times New Roman" w:hAnsi="Arial" w:cs="Arial"/>
          <w:sz w:val="24"/>
          <w:szCs w:val="24"/>
          <w:lang w:val="es-BO" w:eastAsia="es-BO"/>
        </w:rPr>
        <w:t xml:space="preserve">caracteriza por la producción de informes de impacto ambiental y planes de gestión territorial. </w:t>
      </w:r>
    </w:p>
    <w:p w14:paraId="623C2FCA" w14:textId="77777777" w:rsidR="009567C0" w:rsidRPr="009567C0" w:rsidRDefault="009567C0" w:rsidP="009567C0">
      <w:pPr>
        <w:spacing w:line="360" w:lineRule="auto"/>
        <w:jc w:val="both"/>
        <w:rPr>
          <w:rFonts w:ascii="Arial" w:eastAsia="Times New Roman" w:hAnsi="Arial" w:cs="Arial"/>
          <w:sz w:val="24"/>
          <w:szCs w:val="24"/>
          <w:lang w:val="es-BO" w:eastAsia="es-BO"/>
        </w:rPr>
      </w:pPr>
      <w:r w:rsidRPr="009567C0">
        <w:rPr>
          <w:rFonts w:ascii="Arial" w:eastAsia="Times New Roman" w:hAnsi="Arial" w:cs="Arial"/>
          <w:sz w:val="24"/>
          <w:szCs w:val="24"/>
          <w:lang w:val="es-BO" w:eastAsia="es-BO"/>
        </w:rPr>
        <w:t xml:space="preserve">Los casos analizados muestran distintos grados de agencia: mientras algunos/as graduados/as asumen una postura de control sobre su voz académica ("déjenme escribir a mí"), otros/as moldean su identidad según las necesidades del campo de inserción laboral. En el discurso de los sujetos, la escritura del TFLB emerge como el momento clave de "giro identitario" en el que el/la estudiante comienza a percibirse como productor/a de conocimiento. </w:t>
      </w:r>
    </w:p>
    <w:p w14:paraId="3A023F69" w14:textId="22C6C170" w:rsidR="009567C0" w:rsidRPr="009567C0" w:rsidRDefault="009567C0" w:rsidP="009567C0">
      <w:pPr>
        <w:spacing w:line="360" w:lineRule="auto"/>
        <w:jc w:val="both"/>
        <w:rPr>
          <w:rFonts w:ascii="Arial" w:eastAsia="Times New Roman" w:hAnsi="Arial" w:cs="Arial"/>
          <w:sz w:val="24"/>
          <w:szCs w:val="24"/>
          <w:lang w:val="es-BO" w:eastAsia="es-BO"/>
        </w:rPr>
      </w:pPr>
      <w:r w:rsidRPr="009567C0">
        <w:rPr>
          <w:rFonts w:ascii="Arial" w:eastAsia="Times New Roman" w:hAnsi="Arial" w:cs="Arial"/>
          <w:sz w:val="24"/>
          <w:szCs w:val="24"/>
          <w:lang w:val="es-BO" w:eastAsia="es-BO"/>
        </w:rPr>
        <w:t>La investigación evidencia que aprender a escribir en la disciplina es, en realidad, aprender a actuar como un/a profesional. Se destaca la importancia de una transversalidad situada (Lillis, 2024) de la enseñanza de la escritura, superando la idea del taller aislado para integrar las prácticas letradas en las materias de campo y laboratorio. La noción de "identidades en borrador" permite visibilizar el carácter procesual y dialógico de esta formación, en la que la agencia de las y los estudiantes es el motor del acceso real al derecho a la educación superior y al ejercicio profesional pleno</w:t>
      </w:r>
      <w:r w:rsidR="002E5BAB">
        <w:rPr>
          <w:rFonts w:ascii="Arial" w:eastAsia="Times New Roman" w:hAnsi="Arial" w:cs="Arial"/>
          <w:sz w:val="24"/>
          <w:szCs w:val="24"/>
          <w:lang w:val="es-BO" w:eastAsia="es-BO"/>
        </w:rPr>
        <w:t>.</w:t>
      </w:r>
    </w:p>
    <w:p w14:paraId="03476F9F" w14:textId="77777777" w:rsidR="009567C0" w:rsidRPr="009567C0" w:rsidRDefault="009567C0" w:rsidP="009567C0">
      <w:pPr>
        <w:spacing w:before="100" w:beforeAutospacing="1" w:after="100" w:afterAutospacing="1" w:line="360" w:lineRule="auto"/>
        <w:outlineLvl w:val="2"/>
        <w:rPr>
          <w:rFonts w:ascii="Arial" w:eastAsia="Times New Roman" w:hAnsi="Arial" w:cs="Arial"/>
          <w:b/>
          <w:bCs/>
          <w:sz w:val="24"/>
          <w:szCs w:val="24"/>
          <w:lang w:val="es-BO" w:eastAsia="es-BO"/>
        </w:rPr>
      </w:pPr>
      <w:r w:rsidRPr="009567C0">
        <w:rPr>
          <w:rFonts w:ascii="Arial" w:eastAsia="Times New Roman" w:hAnsi="Arial" w:cs="Arial"/>
          <w:b/>
          <w:bCs/>
          <w:sz w:val="24"/>
          <w:szCs w:val="24"/>
          <w:lang w:val="es-BO" w:eastAsia="es-BO"/>
        </w:rPr>
        <w:t>Referencias bibliográficas</w:t>
      </w:r>
    </w:p>
    <w:p w14:paraId="6691DD62" w14:textId="5F2FD9EB" w:rsidR="009567C0" w:rsidRPr="009567C0" w:rsidRDefault="009567C0" w:rsidP="009567C0">
      <w:pPr>
        <w:spacing w:line="360" w:lineRule="auto"/>
        <w:jc w:val="both"/>
        <w:rPr>
          <w:rFonts w:ascii="Arial" w:hAnsi="Arial" w:cs="Arial"/>
          <w:sz w:val="24"/>
          <w:szCs w:val="24"/>
          <w:lang w:val="es-BO"/>
        </w:rPr>
      </w:pPr>
      <w:r w:rsidRPr="009567C0">
        <w:rPr>
          <w:rFonts w:ascii="Arial" w:hAnsi="Arial" w:cs="Arial"/>
          <w:sz w:val="24"/>
          <w:szCs w:val="24"/>
          <w:lang w:val="es-BO"/>
        </w:rPr>
        <w:t xml:space="preserve">Barton, D. y M. Hamilton (2004). La literacidad entendida como práctica social. En V. Zavala, M. Niño-Murcia y P. Ames (eds.), </w:t>
      </w:r>
      <w:r w:rsidRPr="009567C0">
        <w:rPr>
          <w:rFonts w:ascii="Arial" w:hAnsi="Arial" w:cs="Arial"/>
          <w:i/>
          <w:iCs/>
          <w:sz w:val="24"/>
          <w:szCs w:val="24"/>
          <w:lang w:val="es-BO"/>
        </w:rPr>
        <w:t xml:space="preserve">Escritura y sociedad. Nuevas perspectivas teóricas y etnográficas </w:t>
      </w:r>
      <w:r w:rsidRPr="009567C0">
        <w:rPr>
          <w:rFonts w:ascii="Arial" w:hAnsi="Arial" w:cs="Arial"/>
          <w:sz w:val="24"/>
          <w:szCs w:val="24"/>
          <w:lang w:val="es-BO"/>
        </w:rPr>
        <w:t>(pp.109-139). Universidad del Pacífico.</w:t>
      </w:r>
    </w:p>
    <w:p w14:paraId="04E6E268" w14:textId="77777777" w:rsidR="009567C0" w:rsidRPr="009567C0" w:rsidRDefault="009567C0" w:rsidP="009567C0">
      <w:pPr>
        <w:spacing w:before="100" w:beforeAutospacing="1" w:after="100" w:afterAutospacing="1" w:line="360" w:lineRule="auto"/>
        <w:jc w:val="both"/>
        <w:rPr>
          <w:rFonts w:ascii="Arial" w:eastAsia="Times New Roman" w:hAnsi="Arial" w:cs="Arial"/>
          <w:sz w:val="24"/>
          <w:szCs w:val="24"/>
          <w:lang w:val="es-BO" w:eastAsia="es-BO"/>
        </w:rPr>
      </w:pPr>
      <w:r w:rsidRPr="009567C0">
        <w:rPr>
          <w:rFonts w:ascii="Arial" w:eastAsia="Times New Roman" w:hAnsi="Arial" w:cs="Arial"/>
          <w:sz w:val="24"/>
          <w:szCs w:val="24"/>
          <w:lang w:val="es-BO" w:eastAsia="es-BO"/>
        </w:rPr>
        <w:t xml:space="preserve">Delory-Momberger, C. (2014). </w:t>
      </w:r>
      <w:r w:rsidRPr="009567C0">
        <w:rPr>
          <w:rFonts w:ascii="Arial" w:eastAsia="Times New Roman" w:hAnsi="Arial" w:cs="Arial"/>
          <w:i/>
          <w:iCs/>
          <w:sz w:val="24"/>
          <w:szCs w:val="24"/>
          <w:lang w:val="es-BO" w:eastAsia="es-BO"/>
        </w:rPr>
        <w:t>Experiencia y formación. Biografización y subjetividad</w:t>
      </w:r>
      <w:r w:rsidRPr="009567C0">
        <w:rPr>
          <w:rFonts w:ascii="Arial" w:eastAsia="Times New Roman" w:hAnsi="Arial" w:cs="Arial"/>
          <w:sz w:val="24"/>
          <w:szCs w:val="24"/>
          <w:lang w:val="es-BO" w:eastAsia="es-BO"/>
        </w:rPr>
        <w:t xml:space="preserve">. Noveduc. </w:t>
      </w:r>
    </w:p>
    <w:p w14:paraId="7D33DAF6" w14:textId="77777777" w:rsidR="009567C0" w:rsidRDefault="009567C0" w:rsidP="009567C0">
      <w:pPr>
        <w:spacing w:before="100" w:beforeAutospacing="1" w:after="100" w:afterAutospacing="1" w:line="360" w:lineRule="auto"/>
        <w:jc w:val="both"/>
        <w:rPr>
          <w:rFonts w:ascii="Arial" w:eastAsia="Times New Roman" w:hAnsi="Arial" w:cs="Arial"/>
          <w:sz w:val="24"/>
          <w:szCs w:val="24"/>
          <w:lang w:val="es-BO" w:eastAsia="es-BO"/>
        </w:rPr>
      </w:pPr>
    </w:p>
    <w:p w14:paraId="1D15589E" w14:textId="77777777" w:rsidR="009567C0" w:rsidRDefault="009567C0" w:rsidP="009567C0">
      <w:pPr>
        <w:spacing w:before="100" w:beforeAutospacing="1" w:after="100" w:afterAutospacing="1" w:line="360" w:lineRule="auto"/>
        <w:jc w:val="both"/>
        <w:rPr>
          <w:rFonts w:ascii="Arial" w:eastAsia="Times New Roman" w:hAnsi="Arial" w:cs="Arial"/>
          <w:sz w:val="24"/>
          <w:szCs w:val="24"/>
          <w:lang w:val="es-BO" w:eastAsia="es-BO"/>
        </w:rPr>
      </w:pPr>
    </w:p>
    <w:p w14:paraId="5648A2DE" w14:textId="77777777" w:rsidR="009567C0" w:rsidRDefault="009567C0" w:rsidP="009567C0">
      <w:pPr>
        <w:spacing w:before="100" w:beforeAutospacing="1" w:after="100" w:afterAutospacing="1" w:line="360" w:lineRule="auto"/>
        <w:jc w:val="both"/>
        <w:rPr>
          <w:rFonts w:ascii="Arial" w:eastAsia="Times New Roman" w:hAnsi="Arial" w:cs="Arial"/>
          <w:sz w:val="24"/>
          <w:szCs w:val="24"/>
          <w:lang w:val="es-BO" w:eastAsia="es-BO"/>
        </w:rPr>
      </w:pPr>
    </w:p>
    <w:p w14:paraId="2888662E" w14:textId="6174BB77" w:rsidR="009567C0" w:rsidRPr="009567C0" w:rsidRDefault="009567C0" w:rsidP="009567C0">
      <w:pPr>
        <w:spacing w:before="100" w:beforeAutospacing="1" w:after="100" w:afterAutospacing="1" w:line="360" w:lineRule="auto"/>
        <w:jc w:val="both"/>
        <w:rPr>
          <w:rFonts w:ascii="Arial" w:eastAsia="Times New Roman" w:hAnsi="Arial" w:cs="Arial"/>
          <w:sz w:val="24"/>
          <w:szCs w:val="24"/>
          <w:lang w:val="es-BO" w:eastAsia="es-BO"/>
        </w:rPr>
      </w:pPr>
      <w:r w:rsidRPr="009567C0">
        <w:rPr>
          <w:rFonts w:ascii="Arial" w:eastAsia="Times New Roman" w:hAnsi="Arial" w:cs="Arial"/>
          <w:sz w:val="24"/>
          <w:szCs w:val="24"/>
          <w:lang w:val="es-BO" w:eastAsia="es-BO"/>
        </w:rPr>
        <w:t xml:space="preserve">Lillis, T. (2024). </w:t>
      </w:r>
      <w:r w:rsidRPr="009567C0">
        <w:rPr>
          <w:rFonts w:ascii="Arial" w:eastAsia="Times New Roman" w:hAnsi="Arial" w:cs="Arial"/>
          <w:i/>
          <w:iCs/>
          <w:sz w:val="24"/>
          <w:szCs w:val="24"/>
          <w:lang w:val="es-BO" w:eastAsia="es-BO"/>
        </w:rPr>
        <w:t>La escritura como práctica social: diálogos entre textos y contextos</w:t>
      </w:r>
      <w:r w:rsidRPr="009567C0">
        <w:rPr>
          <w:rFonts w:ascii="Arial" w:eastAsia="Times New Roman" w:hAnsi="Arial" w:cs="Arial"/>
          <w:sz w:val="24"/>
          <w:szCs w:val="24"/>
          <w:lang w:val="es-BO" w:eastAsia="es-BO"/>
        </w:rPr>
        <w:t xml:space="preserve">. Universidad Nacional de Córdoba. </w:t>
      </w:r>
      <w:hyperlink r:id="rId8" w:history="1">
        <w:r w:rsidRPr="009567C0">
          <w:rPr>
            <w:rStyle w:val="Hipervnculo"/>
            <w:rFonts w:ascii="Arial" w:eastAsia="Times New Roman" w:hAnsi="Arial" w:cs="Arial"/>
            <w:sz w:val="24"/>
            <w:szCs w:val="24"/>
            <w:lang w:val="es-BO" w:eastAsia="es-BO"/>
          </w:rPr>
          <w:t>https://doi.org/10.52292/csl5420244674</w:t>
        </w:r>
      </w:hyperlink>
    </w:p>
    <w:p w14:paraId="13C4C79C" w14:textId="77777777" w:rsidR="009567C0" w:rsidRPr="009567C0" w:rsidRDefault="009567C0" w:rsidP="009567C0">
      <w:pPr>
        <w:spacing w:before="100" w:beforeAutospacing="1" w:after="100" w:afterAutospacing="1" w:line="360" w:lineRule="auto"/>
        <w:jc w:val="both"/>
        <w:rPr>
          <w:rFonts w:ascii="Arial" w:eastAsia="Times New Roman" w:hAnsi="Arial" w:cs="Arial"/>
          <w:sz w:val="24"/>
          <w:szCs w:val="24"/>
          <w:lang w:val="es-BO" w:eastAsia="es-BO"/>
        </w:rPr>
      </w:pPr>
      <w:r w:rsidRPr="009567C0">
        <w:rPr>
          <w:rFonts w:ascii="Arial" w:eastAsia="Times New Roman" w:hAnsi="Arial" w:cs="Arial"/>
          <w:sz w:val="24"/>
          <w:szCs w:val="24"/>
          <w:lang w:val="es-BO" w:eastAsia="es-BO"/>
        </w:rPr>
        <w:t xml:space="preserve">Sosa, K. L. (2022). </w:t>
      </w:r>
      <w:r w:rsidRPr="009567C0">
        <w:rPr>
          <w:rFonts w:ascii="Arial" w:eastAsia="Times New Roman" w:hAnsi="Arial" w:cs="Arial"/>
          <w:i/>
          <w:iCs/>
          <w:sz w:val="24"/>
          <w:szCs w:val="24"/>
          <w:lang w:val="es-BO" w:eastAsia="es-BO"/>
        </w:rPr>
        <w:t>Informe Final: Relevamiento de perfiles de graduados y ámbitos de desempeño en la Licenciatura en Biología</w:t>
      </w:r>
      <w:r w:rsidRPr="009567C0">
        <w:rPr>
          <w:rFonts w:ascii="Arial" w:eastAsia="Times New Roman" w:hAnsi="Arial" w:cs="Arial"/>
          <w:sz w:val="24"/>
          <w:szCs w:val="24"/>
          <w:lang w:val="es-BO" w:eastAsia="es-BO"/>
        </w:rPr>
        <w:t xml:space="preserve">. PIDUNTDF A1-03/2022. UNTDF. </w:t>
      </w:r>
    </w:p>
    <w:p w14:paraId="7F2A576D" w14:textId="77777777" w:rsidR="009567C0" w:rsidRPr="009567C0" w:rsidRDefault="009567C0" w:rsidP="009567C0">
      <w:pPr>
        <w:spacing w:before="100" w:beforeAutospacing="1" w:after="100" w:afterAutospacing="1" w:line="360" w:lineRule="auto"/>
        <w:jc w:val="both"/>
        <w:rPr>
          <w:rFonts w:ascii="Arial" w:eastAsia="Times New Roman" w:hAnsi="Arial" w:cs="Arial"/>
          <w:sz w:val="24"/>
          <w:szCs w:val="24"/>
          <w:lang w:val="es-BO" w:eastAsia="es-BO"/>
        </w:rPr>
      </w:pPr>
      <w:r w:rsidRPr="009567C0">
        <w:rPr>
          <w:rFonts w:ascii="Arial" w:eastAsia="Times New Roman" w:hAnsi="Arial" w:cs="Arial"/>
          <w:sz w:val="24"/>
          <w:szCs w:val="24"/>
          <w:lang w:val="es-BO" w:eastAsia="es-BO"/>
        </w:rPr>
        <w:t xml:space="preserve">Zavala, V. (2011). La escritura académica y la agencia de los sujetos. </w:t>
      </w:r>
      <w:r w:rsidRPr="009567C0">
        <w:rPr>
          <w:rFonts w:ascii="Arial" w:eastAsia="Times New Roman" w:hAnsi="Arial" w:cs="Arial"/>
          <w:i/>
          <w:iCs/>
          <w:sz w:val="24"/>
          <w:szCs w:val="24"/>
          <w:lang w:val="es-BO" w:eastAsia="es-BO"/>
        </w:rPr>
        <w:t>Cuadernos de Comillas</w:t>
      </w:r>
      <w:r w:rsidRPr="009567C0">
        <w:rPr>
          <w:rFonts w:ascii="Arial" w:eastAsia="Times New Roman" w:hAnsi="Arial" w:cs="Arial"/>
          <w:sz w:val="24"/>
          <w:szCs w:val="24"/>
          <w:lang w:val="es-BO" w:eastAsia="es-BO"/>
        </w:rPr>
        <w:t xml:space="preserve">, (1), 52-66. </w:t>
      </w:r>
    </w:p>
    <w:p w14:paraId="1668F3CD" w14:textId="77777777" w:rsidR="009567C0" w:rsidRPr="009567C0" w:rsidRDefault="009567C0" w:rsidP="009567C0">
      <w:pPr>
        <w:spacing w:before="100" w:beforeAutospacing="1" w:after="100" w:afterAutospacing="1" w:line="360" w:lineRule="auto"/>
        <w:jc w:val="both"/>
        <w:rPr>
          <w:rFonts w:ascii="Arial" w:eastAsia="Times New Roman" w:hAnsi="Arial" w:cs="Arial"/>
          <w:sz w:val="24"/>
          <w:szCs w:val="24"/>
          <w:lang w:eastAsia="es-BO"/>
        </w:rPr>
      </w:pPr>
      <w:r w:rsidRPr="009567C0">
        <w:rPr>
          <w:rFonts w:ascii="Arial" w:hAnsi="Arial" w:cs="Arial"/>
          <w:sz w:val="24"/>
          <w:szCs w:val="24"/>
          <w:lang w:val="es-BO"/>
        </w:rPr>
        <w:t xml:space="preserve">Zavala, V. (2026). Insumos sociolingüísticos para repensar la literacidad como práctica social. </w:t>
      </w:r>
      <w:r w:rsidRPr="009567C0">
        <w:rPr>
          <w:rFonts w:ascii="Arial" w:hAnsi="Arial" w:cs="Arial"/>
          <w:i/>
          <w:iCs/>
          <w:sz w:val="24"/>
          <w:szCs w:val="24"/>
        </w:rPr>
        <w:t>Íkala</w:t>
      </w:r>
      <w:r w:rsidRPr="009567C0">
        <w:rPr>
          <w:rFonts w:ascii="Arial" w:hAnsi="Arial" w:cs="Arial"/>
          <w:sz w:val="24"/>
          <w:szCs w:val="24"/>
        </w:rPr>
        <w:t>, </w:t>
      </w:r>
      <w:r w:rsidRPr="009567C0">
        <w:rPr>
          <w:rFonts w:ascii="Arial" w:hAnsi="Arial" w:cs="Arial"/>
          <w:i/>
          <w:iCs/>
          <w:sz w:val="24"/>
          <w:szCs w:val="24"/>
        </w:rPr>
        <w:t>31</w:t>
      </w:r>
      <w:r w:rsidRPr="009567C0">
        <w:rPr>
          <w:rFonts w:ascii="Arial" w:hAnsi="Arial" w:cs="Arial"/>
          <w:sz w:val="24"/>
          <w:szCs w:val="24"/>
        </w:rPr>
        <w:t xml:space="preserve">(1). </w:t>
      </w:r>
      <w:hyperlink r:id="rId9" w:history="1">
        <w:r w:rsidRPr="009567C0">
          <w:rPr>
            <w:rStyle w:val="Hipervnculo"/>
            <w:rFonts w:ascii="Arial" w:hAnsi="Arial" w:cs="Arial"/>
            <w:sz w:val="24"/>
            <w:szCs w:val="24"/>
          </w:rPr>
          <w:t>https://doi.org/10.17533/udea.ikala.363040</w:t>
        </w:r>
      </w:hyperlink>
    </w:p>
    <w:p w14:paraId="34A0AC9C" w14:textId="77777777" w:rsidR="009567C0" w:rsidRPr="009567C0" w:rsidRDefault="009567C0">
      <w:pPr>
        <w:spacing w:line="360" w:lineRule="auto"/>
        <w:jc w:val="center"/>
        <w:rPr>
          <w:rFonts w:ascii="Arial" w:eastAsia="Arial" w:hAnsi="Arial"/>
          <w:b/>
          <w:sz w:val="24"/>
          <w:szCs w:val="24"/>
          <w:lang w:val="es-BO"/>
        </w:rPr>
      </w:pPr>
    </w:p>
    <w:p w14:paraId="4B1FB1F6" w14:textId="0029DFA0" w:rsidR="00C749E0" w:rsidRPr="00414A02" w:rsidRDefault="00C749E0">
      <w:pPr>
        <w:spacing w:line="360" w:lineRule="auto"/>
        <w:rPr>
          <w:lang w:val="es-AR"/>
        </w:rPr>
      </w:pPr>
    </w:p>
    <w:sectPr w:rsidR="00C749E0" w:rsidRPr="00414A02" w:rsidSect="00034616">
      <w:headerReference w:type="default" r:id="rId10"/>
      <w:footerReference w:type="default" r:id="rId11"/>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55AD4" w14:textId="77777777" w:rsidR="009B468B" w:rsidRDefault="009B468B" w:rsidP="00414A02">
      <w:pPr>
        <w:spacing w:after="0" w:line="240" w:lineRule="auto"/>
      </w:pPr>
      <w:r>
        <w:separator/>
      </w:r>
    </w:p>
  </w:endnote>
  <w:endnote w:type="continuationSeparator" w:id="0">
    <w:p w14:paraId="20A39D65" w14:textId="77777777" w:rsidR="009B468B" w:rsidRDefault="009B468B" w:rsidP="00414A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23B20" w14:textId="77777777" w:rsidR="00414A02" w:rsidRPr="00414A02" w:rsidRDefault="00414A02" w:rsidP="00414A02">
    <w:pPr>
      <w:pStyle w:val="Piedepgina"/>
      <w:jc w:val="center"/>
      <w:rPr>
        <w:rFonts w:ascii="Arial" w:hAnsi="Arial" w:cs="Arial"/>
        <w:sz w:val="20"/>
        <w:szCs w:val="20"/>
        <w:lang w:val="es-ES_tradnl"/>
      </w:rPr>
    </w:pPr>
    <w:r w:rsidRPr="00414A02">
      <w:rPr>
        <w:rFonts w:ascii="Arial" w:hAnsi="Arial" w:cs="Arial"/>
        <w:sz w:val="20"/>
        <w:szCs w:val="20"/>
        <w:lang w:val="es-ES_tradnl"/>
      </w:rPr>
      <w:t>Instituto de la Educación y del Conocimiento</w:t>
    </w:r>
  </w:p>
  <w:p w14:paraId="67C303AE" w14:textId="77777777" w:rsidR="00414A02" w:rsidRPr="00414A02" w:rsidRDefault="00414A02" w:rsidP="00414A02">
    <w:pPr>
      <w:pStyle w:val="Piedepgina"/>
      <w:jc w:val="center"/>
      <w:rPr>
        <w:rFonts w:ascii="Arial" w:hAnsi="Arial" w:cs="Arial"/>
        <w:sz w:val="20"/>
        <w:szCs w:val="20"/>
        <w:lang w:val="es-ES_tradnl"/>
      </w:rPr>
    </w:pPr>
    <w:r w:rsidRPr="00414A02">
      <w:rPr>
        <w:rFonts w:ascii="Arial" w:hAnsi="Arial" w:cs="Arial"/>
        <w:sz w:val="20"/>
        <w:szCs w:val="20"/>
        <w:lang w:val="es-ES_tradnl"/>
      </w:rPr>
      <w:t>Universidad Nacional de Tierra del Fuego, Antártida e Islas del Atlántico Sur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FAE6DC" w14:textId="77777777" w:rsidR="009B468B" w:rsidRDefault="009B468B" w:rsidP="00414A02">
      <w:pPr>
        <w:spacing w:after="0" w:line="240" w:lineRule="auto"/>
      </w:pPr>
      <w:r>
        <w:separator/>
      </w:r>
    </w:p>
  </w:footnote>
  <w:footnote w:type="continuationSeparator" w:id="0">
    <w:p w14:paraId="46A33CE3" w14:textId="77777777" w:rsidR="009B468B" w:rsidRDefault="009B468B" w:rsidP="00414A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1ADEB" w14:textId="77777777" w:rsidR="00414A02" w:rsidRDefault="00414A02">
    <w:pPr>
      <w:pStyle w:val="Encabezado"/>
    </w:pPr>
    <w:r>
      <w:rPr>
        <w:noProof/>
      </w:rPr>
      <w:drawing>
        <wp:anchor distT="0" distB="0" distL="114300" distR="114300" simplePos="0" relativeHeight="251658240" behindDoc="1" locked="0" layoutInCell="1" allowOverlap="1" wp14:anchorId="54486C81" wp14:editId="79777231">
          <wp:simplePos x="0" y="0"/>
          <wp:positionH relativeFrom="column">
            <wp:posOffset>909569</wp:posOffset>
          </wp:positionH>
          <wp:positionV relativeFrom="paragraph">
            <wp:posOffset>-125095</wp:posOffset>
          </wp:positionV>
          <wp:extent cx="4332605" cy="1246505"/>
          <wp:effectExtent l="0" t="0" r="0" b="0"/>
          <wp:wrapTight wrapText="bothSides">
            <wp:wrapPolygon edited="0">
              <wp:start x="0" y="0"/>
              <wp:lineTo x="0" y="21347"/>
              <wp:lineTo x="21527" y="21347"/>
              <wp:lineTo x="21527" y="0"/>
              <wp:lineTo x="0" y="0"/>
            </wp:wrapPolygon>
          </wp:wrapTight>
          <wp:docPr id="19756432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643229" name="Imagen 1975643229"/>
                  <pic:cNvPicPr/>
                </pic:nvPicPr>
                <pic:blipFill>
                  <a:blip r:embed="rId1"/>
                  <a:stretch>
                    <a:fillRect/>
                  </a:stretch>
                </pic:blipFill>
                <pic:spPr>
                  <a:xfrm>
                    <a:off x="0" y="0"/>
                    <a:ext cx="4332605" cy="124650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463546195">
    <w:abstractNumId w:val="8"/>
  </w:num>
  <w:num w:numId="2" w16cid:durableId="2014647980">
    <w:abstractNumId w:val="6"/>
  </w:num>
  <w:num w:numId="3" w16cid:durableId="2085641541">
    <w:abstractNumId w:val="5"/>
  </w:num>
  <w:num w:numId="4" w16cid:durableId="1599799357">
    <w:abstractNumId w:val="4"/>
  </w:num>
  <w:num w:numId="5" w16cid:durableId="817573631">
    <w:abstractNumId w:val="7"/>
  </w:num>
  <w:num w:numId="6" w16cid:durableId="214391234">
    <w:abstractNumId w:val="3"/>
  </w:num>
  <w:num w:numId="7" w16cid:durableId="346521343">
    <w:abstractNumId w:val="2"/>
  </w:num>
  <w:num w:numId="8" w16cid:durableId="1255897033">
    <w:abstractNumId w:val="1"/>
  </w:num>
  <w:num w:numId="9" w16cid:durableId="3407372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F4957"/>
    <w:rsid w:val="0015074B"/>
    <w:rsid w:val="0029639D"/>
    <w:rsid w:val="002E5BAB"/>
    <w:rsid w:val="00326F90"/>
    <w:rsid w:val="00414A02"/>
    <w:rsid w:val="007513DE"/>
    <w:rsid w:val="009567C0"/>
    <w:rsid w:val="009B468B"/>
    <w:rsid w:val="00AA1D8D"/>
    <w:rsid w:val="00B47730"/>
    <w:rsid w:val="00C749E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23663AA"/>
  <w14:defaultImageDpi w14:val="300"/>
  <w15:docId w15:val="{3A7B557F-23BD-9945-86C9-678F21FD8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xtonotapie">
    <w:name w:val="footnote text"/>
    <w:basedOn w:val="Normal"/>
    <w:link w:val="TextonotapieCar"/>
    <w:uiPriority w:val="99"/>
    <w:semiHidden/>
    <w:unhideWhenUsed/>
    <w:rsid w:val="00414A0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414A02"/>
    <w:rPr>
      <w:sz w:val="20"/>
      <w:szCs w:val="20"/>
    </w:rPr>
  </w:style>
  <w:style w:type="character" w:styleId="Refdenotaalpie">
    <w:name w:val="footnote reference"/>
    <w:basedOn w:val="Fuentedeprrafopredeter"/>
    <w:uiPriority w:val="99"/>
    <w:semiHidden/>
    <w:unhideWhenUsed/>
    <w:rsid w:val="00414A02"/>
    <w:rPr>
      <w:vertAlign w:val="superscript"/>
    </w:rPr>
  </w:style>
  <w:style w:type="character" w:styleId="Hipervnculo">
    <w:name w:val="Hyperlink"/>
    <w:basedOn w:val="Fuentedeprrafopredeter"/>
    <w:uiPriority w:val="99"/>
    <w:unhideWhenUsed/>
    <w:rsid w:val="009567C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52292/csl5420244674"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i.org/10.17533/udea.ikala.36304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875</Words>
  <Characters>4816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cali dalbene</cp:lastModifiedBy>
  <cp:revision>3</cp:revision>
  <dcterms:created xsi:type="dcterms:W3CDTF">2026-05-18T16:45:00Z</dcterms:created>
  <dcterms:modified xsi:type="dcterms:W3CDTF">2026-05-18T16:49:00Z</dcterms:modified>
  <cp:category/>
</cp:coreProperties>
</file>