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7AD87" w14:textId="77777777" w:rsidR="00F83D1D" w:rsidRDefault="005D2B33">
      <w:pPr>
        <w:spacing w:before="240" w:after="240" w:line="360" w:lineRule="auto"/>
        <w:jc w:val="center"/>
        <w:rPr>
          <w:rFonts w:ascii="Arial" w:eastAsia="Arial" w:hAnsi="Arial" w:cs="Arial"/>
          <w:b/>
          <w:bCs/>
          <w:sz w:val="28"/>
          <w:szCs w:val="28"/>
        </w:rPr>
      </w:pPr>
      <w:r>
        <w:rPr>
          <w:rFonts w:ascii="Arial" w:eastAsia="Arial" w:hAnsi="Arial" w:cs="Arial"/>
          <w:b/>
          <w:bCs/>
          <w:sz w:val="28"/>
          <w:szCs w:val="28"/>
        </w:rPr>
        <w:t>ESCRIBIR, REVISAR Y REESCRIBIR LA ANTÁRTIDA: UNA EXPERIENCIA DE TALLER</w:t>
      </w:r>
    </w:p>
    <w:p w14:paraId="43E7AD88" w14:textId="77777777" w:rsidR="00F83D1D" w:rsidRPr="00EF6793" w:rsidRDefault="005D2B33">
      <w:pPr>
        <w:spacing w:before="240" w:after="240" w:line="360" w:lineRule="auto"/>
        <w:jc w:val="center"/>
        <w:rPr>
          <w:rFonts w:ascii="Arial" w:eastAsia="Arial" w:hAnsi="Arial" w:cs="Arial"/>
          <w:b/>
          <w:bCs/>
          <w:sz w:val="28"/>
          <w:szCs w:val="28"/>
          <w:lang w:val="en-US"/>
        </w:rPr>
      </w:pPr>
      <w:r w:rsidRPr="00EF6793">
        <w:rPr>
          <w:rFonts w:ascii="Arial" w:eastAsia="Arial" w:hAnsi="Arial" w:cs="Arial"/>
          <w:b/>
          <w:bCs/>
          <w:sz w:val="28"/>
          <w:szCs w:val="28"/>
          <w:lang w:val="en-US"/>
        </w:rPr>
        <w:t>WRITING, REVISING AND REWRITING ANTARCTICA: A WORKSHOP EXPERIENCE</w:t>
      </w:r>
    </w:p>
    <w:p w14:paraId="43E7AD89" w14:textId="77777777" w:rsidR="00F83D1D" w:rsidRPr="00EF6793" w:rsidRDefault="005D2B33">
      <w:pPr>
        <w:spacing w:before="240" w:after="240" w:line="360" w:lineRule="auto"/>
        <w:jc w:val="center"/>
        <w:rPr>
          <w:rFonts w:ascii="Arial" w:eastAsia="Arial" w:hAnsi="Arial" w:cs="Arial"/>
          <w:b/>
          <w:bCs/>
          <w:sz w:val="28"/>
          <w:szCs w:val="28"/>
          <w:lang w:val="pt-PT"/>
        </w:rPr>
      </w:pPr>
      <w:r w:rsidRPr="00EF6793">
        <w:rPr>
          <w:rFonts w:ascii="Arial" w:eastAsia="Arial" w:hAnsi="Arial" w:cs="Arial"/>
          <w:b/>
          <w:bCs/>
          <w:sz w:val="28"/>
          <w:szCs w:val="28"/>
          <w:lang w:val="pt-PT"/>
        </w:rPr>
        <w:t>ESCREVER, REVISAR E REESCREVER A ANTÁRTICA: UMA EXPERIÊNCIA DE OFICINA</w:t>
      </w:r>
    </w:p>
    <w:p w14:paraId="43E7AD8A" w14:textId="77777777" w:rsidR="00F83D1D" w:rsidRPr="00EF6793" w:rsidRDefault="00F83D1D">
      <w:pPr>
        <w:spacing w:line="360" w:lineRule="auto"/>
        <w:jc w:val="center"/>
        <w:rPr>
          <w:rFonts w:ascii="Arial" w:eastAsia="Arial" w:hAnsi="Arial" w:cs="Arial"/>
          <w:b/>
          <w:bCs/>
          <w:sz w:val="28"/>
          <w:szCs w:val="28"/>
          <w:lang w:val="pt-PT"/>
        </w:rPr>
      </w:pPr>
    </w:p>
    <w:p w14:paraId="43E7AD8B" w14:textId="77777777" w:rsidR="00F83D1D" w:rsidRDefault="005D2B33">
      <w:pPr>
        <w:spacing w:line="360" w:lineRule="auto"/>
      </w:pPr>
      <w:r>
        <w:rPr>
          <w:rFonts w:ascii="Arial" w:eastAsia="Arial" w:hAnsi="Arial" w:cs="Arial"/>
        </w:rPr>
        <w:t>Palabras clave: escritura; formación de posgrado; Antártida.</w:t>
      </w:r>
    </w:p>
    <w:p w14:paraId="43E7AD8C" w14:textId="77777777" w:rsidR="00F83D1D" w:rsidRPr="00EF6793" w:rsidRDefault="005D2B33">
      <w:pPr>
        <w:spacing w:line="360" w:lineRule="auto"/>
        <w:rPr>
          <w:rFonts w:ascii="Arial" w:eastAsia="Arial" w:hAnsi="Arial" w:cs="Arial"/>
          <w:lang w:val="pt-PT"/>
        </w:rPr>
      </w:pPr>
      <w:r w:rsidRPr="00EF6793">
        <w:rPr>
          <w:rFonts w:ascii="Arial" w:eastAsia="Arial" w:hAnsi="Arial" w:cs="Arial"/>
          <w:lang w:val="pt-PT"/>
        </w:rPr>
        <w:t xml:space="preserve">Keywords: </w:t>
      </w:r>
      <w:r w:rsidRPr="00EF6793">
        <w:rPr>
          <w:rFonts w:ascii="Arial" w:eastAsia="Arial" w:hAnsi="Arial" w:cs="Arial"/>
          <w:color w:val="1F1F1F"/>
          <w:shd w:val="clear" w:color="auto" w:fill="F8F9FA"/>
          <w:lang w:val="pt-PT"/>
        </w:rPr>
        <w:t>writing; postgraduate training; Antarctica</w:t>
      </w:r>
    </w:p>
    <w:p w14:paraId="43E7AD8D" w14:textId="77777777" w:rsidR="00F83D1D" w:rsidRPr="00EF6793" w:rsidRDefault="005D2B33">
      <w:pPr>
        <w:spacing w:line="360" w:lineRule="auto"/>
        <w:rPr>
          <w:lang w:val="pt-PT"/>
        </w:rPr>
      </w:pPr>
      <w:r w:rsidRPr="00EF6793">
        <w:rPr>
          <w:rFonts w:ascii="Arial" w:eastAsia="Arial" w:hAnsi="Arial" w:cs="Arial"/>
          <w:lang w:val="pt-PT"/>
        </w:rPr>
        <w:t>Palavras-chave: escrita; formação de pós-graduação; Antártida.</w:t>
      </w:r>
    </w:p>
    <w:p w14:paraId="43E7AD8E" w14:textId="77777777" w:rsidR="00F83D1D" w:rsidRPr="00EF6793" w:rsidRDefault="00F83D1D">
      <w:pPr>
        <w:spacing w:line="360" w:lineRule="auto"/>
        <w:rPr>
          <w:rFonts w:ascii="Arial" w:eastAsia="Arial" w:hAnsi="Arial" w:cs="Arial"/>
          <w:b/>
          <w:bCs/>
          <w:sz w:val="24"/>
          <w:szCs w:val="24"/>
          <w:lang w:val="pt-PT"/>
        </w:rPr>
      </w:pPr>
    </w:p>
    <w:p w14:paraId="43E7AD8F" w14:textId="74AD23FC" w:rsidR="00F83D1D" w:rsidRDefault="005D2B33">
      <w:pPr>
        <w:spacing w:line="360" w:lineRule="auto"/>
        <w:rPr>
          <w:rFonts w:ascii="Arial" w:eastAsia="Arial" w:hAnsi="Arial" w:cs="Arial"/>
          <w:color w:val="9900FF"/>
          <w:sz w:val="24"/>
          <w:szCs w:val="24"/>
        </w:rPr>
      </w:pPr>
      <w:r>
        <w:rPr>
          <w:rFonts w:ascii="Arial" w:eastAsia="Arial" w:hAnsi="Arial" w:cs="Arial"/>
          <w:b/>
          <w:bCs/>
          <w:sz w:val="24"/>
          <w:szCs w:val="24"/>
        </w:rPr>
        <w:t>Resumen</w:t>
      </w:r>
    </w:p>
    <w:p w14:paraId="0E2C2DEA" w14:textId="77777777" w:rsidR="00EF6793" w:rsidRDefault="005D2B33">
      <w:pPr>
        <w:spacing w:line="360" w:lineRule="auto"/>
        <w:jc w:val="both"/>
        <w:rPr>
          <w:rFonts w:ascii="Arial" w:eastAsia="Arial" w:hAnsi="Arial" w:cs="Arial"/>
          <w:sz w:val="24"/>
          <w:szCs w:val="24"/>
        </w:rPr>
      </w:pPr>
      <w:r>
        <w:rPr>
          <w:rFonts w:ascii="Arial" w:eastAsia="Arial" w:hAnsi="Arial" w:cs="Arial"/>
          <w:sz w:val="24"/>
          <w:szCs w:val="24"/>
        </w:rPr>
        <w:t>Las prácticas de lectura, escritura y oralidad académicas son constitutivas de las prácticas de formación e investigación. Numerosas investigaciones han evidenciado la necesidad del abordaje explícito de su enseñanza (Carlino, 2013). Entendiendo que se trata de prácticas (no de habilidades generales), se aprenden ejerciéndolas al participar de manera activa como miembro de cada esfera de la actividad humana (Kalman, 2008). Apoyadas en la perspectiva teórica sociocultural crítica que entiende la escritura co</w:t>
      </w:r>
      <w:r>
        <w:rPr>
          <w:rFonts w:ascii="Arial" w:eastAsia="Arial" w:hAnsi="Arial" w:cs="Arial"/>
          <w:sz w:val="24"/>
          <w:szCs w:val="24"/>
        </w:rPr>
        <w:t xml:space="preserve">mo prácticas sociales situadas (Barton y Hamilton, 2004; Street, 2004; Lillis, 2024), en esta ponencia vamos a compartir la propuesta diseñada e implementada en el Seminario-taller </w:t>
      </w:r>
    </w:p>
    <w:p w14:paraId="66906C27" w14:textId="77777777" w:rsidR="00EF6793" w:rsidRDefault="00EF6793">
      <w:pPr>
        <w:spacing w:line="360" w:lineRule="auto"/>
        <w:jc w:val="both"/>
        <w:rPr>
          <w:rFonts w:ascii="Arial" w:eastAsia="Arial" w:hAnsi="Arial" w:cs="Arial"/>
          <w:sz w:val="24"/>
          <w:szCs w:val="24"/>
        </w:rPr>
      </w:pPr>
    </w:p>
    <w:p w14:paraId="74F6D6C8" w14:textId="77777777" w:rsidR="00EF6793" w:rsidRDefault="00EF6793">
      <w:pPr>
        <w:spacing w:line="360" w:lineRule="auto"/>
        <w:jc w:val="both"/>
        <w:rPr>
          <w:rFonts w:ascii="Arial" w:eastAsia="Arial" w:hAnsi="Arial" w:cs="Arial"/>
          <w:sz w:val="24"/>
          <w:szCs w:val="24"/>
        </w:rPr>
      </w:pPr>
    </w:p>
    <w:p w14:paraId="43E7AD90" w14:textId="76B35F18" w:rsidR="00F83D1D" w:rsidRDefault="005D2B33">
      <w:pPr>
        <w:spacing w:line="360" w:lineRule="auto"/>
        <w:jc w:val="both"/>
        <w:rPr>
          <w:rFonts w:ascii="Arial" w:eastAsia="Arial" w:hAnsi="Arial" w:cs="Arial"/>
          <w:sz w:val="24"/>
          <w:szCs w:val="24"/>
        </w:rPr>
      </w:pPr>
      <w:r>
        <w:rPr>
          <w:rFonts w:ascii="Arial" w:eastAsia="Arial" w:hAnsi="Arial" w:cs="Arial"/>
          <w:sz w:val="24"/>
          <w:szCs w:val="24"/>
        </w:rPr>
        <w:lastRenderedPageBreak/>
        <w:t>Trabajo Final de la Maestría en Estudios Antárticos de la Universidad Nacional de Tierra del Fuego, Antártida e Islas del Atlántico Sur</w:t>
      </w:r>
      <w:r w:rsidR="00C271E3">
        <w:rPr>
          <w:rFonts w:ascii="Arial" w:eastAsia="Arial" w:hAnsi="Arial" w:cs="Arial"/>
          <w:sz w:val="24"/>
          <w:szCs w:val="24"/>
        </w:rPr>
        <w:t xml:space="preserve"> </w:t>
      </w:r>
      <w:r w:rsidR="00C271E3" w:rsidRPr="00C271E3">
        <w:rPr>
          <w:rFonts w:ascii="Arial" w:eastAsia="Arial" w:hAnsi="Arial" w:cs="Arial"/>
        </w:rPr>
        <w:t xml:space="preserve">a partir del dispositivo de </w:t>
      </w:r>
      <w:proofErr w:type="spellStart"/>
      <w:r w:rsidR="00C271E3" w:rsidRPr="00C271E3">
        <w:rPr>
          <w:rFonts w:ascii="Arial" w:eastAsia="Arial" w:hAnsi="Arial" w:cs="Arial"/>
        </w:rPr>
        <w:t>codocencia</w:t>
      </w:r>
      <w:proofErr w:type="spellEnd"/>
      <w:r w:rsidR="00C271E3" w:rsidRPr="00C271E3">
        <w:rPr>
          <w:rFonts w:ascii="Arial" w:eastAsia="Arial" w:hAnsi="Arial" w:cs="Arial"/>
        </w:rPr>
        <w:t xml:space="preserve"> </w:t>
      </w:r>
      <w:r w:rsidR="00C271E3">
        <w:rPr>
          <w:rFonts w:ascii="Arial" w:eastAsia="Arial" w:hAnsi="Arial" w:cs="Arial"/>
        </w:rPr>
        <w:t>i</w:t>
      </w:r>
      <w:r w:rsidR="00C271E3" w:rsidRPr="00C271E3">
        <w:rPr>
          <w:rFonts w:ascii="Arial" w:eastAsia="Arial" w:hAnsi="Arial" w:cs="Arial"/>
        </w:rPr>
        <w:t>nterdisciplinaria (Natale, 2020). </w:t>
      </w:r>
      <w:r>
        <w:rPr>
          <w:rFonts w:ascii="Arial" w:eastAsia="Arial" w:hAnsi="Arial" w:cs="Arial"/>
          <w:sz w:val="24"/>
          <w:szCs w:val="24"/>
        </w:rPr>
        <w:t xml:space="preserve"> </w:t>
      </w:r>
    </w:p>
    <w:p w14:paraId="43E7AD91" w14:textId="77777777" w:rsidR="00F83D1D" w:rsidRDefault="005D2B33">
      <w:pPr>
        <w:spacing w:line="360" w:lineRule="auto"/>
        <w:jc w:val="both"/>
        <w:rPr>
          <w:rFonts w:ascii="Arial" w:eastAsia="Arial" w:hAnsi="Arial" w:cs="Arial"/>
          <w:sz w:val="24"/>
          <w:szCs w:val="24"/>
        </w:rPr>
      </w:pPr>
      <w:r>
        <w:rPr>
          <w:rFonts w:ascii="Arial" w:eastAsia="Arial" w:hAnsi="Arial" w:cs="Arial"/>
          <w:sz w:val="24"/>
          <w:szCs w:val="24"/>
        </w:rPr>
        <w:t>El plan de estudio de la Maestría se organiza en cuatro ejes (histórico-político; ambiente y sostenibilidad; logística antártica; conocimiento), un área metodológica y otra de formación práctica. El Seminario-taller se inscribe en la primera de ellas que se centra en las prácticas de escritura académica y el diseño de proyectos. Da continuidad al Seminario-taller de metodología que se desarrolla en el primer año de la carrera, aborda aspectos teórico-metodológicos y el esbozo de la propuesta del plan del tr</w:t>
      </w:r>
      <w:r>
        <w:rPr>
          <w:rFonts w:ascii="Arial" w:eastAsia="Arial" w:hAnsi="Arial" w:cs="Arial"/>
          <w:sz w:val="24"/>
          <w:szCs w:val="24"/>
        </w:rPr>
        <w:t xml:space="preserve">abajo final de la carrera. </w:t>
      </w:r>
    </w:p>
    <w:p w14:paraId="198F09DE" w14:textId="77777777" w:rsidR="00EF6793" w:rsidRDefault="005D2B33">
      <w:pPr>
        <w:spacing w:line="360" w:lineRule="auto"/>
        <w:jc w:val="both"/>
        <w:rPr>
          <w:rFonts w:ascii="Arial" w:eastAsia="Arial" w:hAnsi="Arial" w:cs="Arial"/>
          <w:sz w:val="24"/>
          <w:szCs w:val="24"/>
          <w:highlight w:val="white"/>
        </w:rPr>
      </w:pPr>
      <w:r>
        <w:rPr>
          <w:rFonts w:ascii="Arial" w:eastAsia="Arial" w:hAnsi="Arial" w:cs="Arial"/>
          <w:sz w:val="24"/>
          <w:szCs w:val="24"/>
        </w:rPr>
        <w:t xml:space="preserve">El Seminario-Taller Trabajo Final se configuró con modalidad de taller de escritura en el que los y las maestrandos/as asumieron un rol activo y comprometido. Se propuso un tipo de trabajo “artesanal” que implicó el involucramiento directo y sostenido durante todo el proceso del taller. Para ello, se diseñó una secuencia de actividades que fueron proponiendo crecientes desafíos. En primer lugar, las/os invitamos a </w:t>
      </w:r>
      <w:proofErr w:type="gramStart"/>
      <w:r>
        <w:rPr>
          <w:rFonts w:ascii="Arial" w:eastAsia="Arial" w:hAnsi="Arial" w:cs="Arial"/>
          <w:sz w:val="24"/>
          <w:szCs w:val="24"/>
        </w:rPr>
        <w:t>realizar  presentaciones</w:t>
      </w:r>
      <w:proofErr w:type="gramEnd"/>
      <w:r>
        <w:rPr>
          <w:rFonts w:ascii="Arial" w:eastAsia="Arial" w:hAnsi="Arial" w:cs="Arial"/>
          <w:sz w:val="24"/>
          <w:szCs w:val="24"/>
        </w:rPr>
        <w:t xml:space="preserve"> orales iniciales de los proyectos de los planes de trabajos finales elaborados en el Seminario-taller de Metodología previo. Desde ese punto de partida, les propusimos la generación de un resumen del trabajo final como estrategia holística para desarrollar una mirada global del producto que se quería alcanzar. Utilizamos varias clases para la exposición y discusión de cada uno de estos resúmenes. Seguidamente, para visualizar y construir esquemas sobre el género trabajo final o tesi</w:t>
      </w:r>
      <w:r>
        <w:rPr>
          <w:rFonts w:ascii="Arial" w:eastAsia="Arial" w:hAnsi="Arial" w:cs="Arial"/>
          <w:sz w:val="24"/>
          <w:szCs w:val="24"/>
        </w:rPr>
        <w:t xml:space="preserve">s, pusimos sobre la mesa tesis aprobadas en torno a la Antártida de diferentes instituciones y disciplinas publicadas en repositorios digitales con el propósito de explorarlas críticamente, discutirlas e identificar los distintos tipos de organización y sus efectos de lectura. Aquí, el objetivo fue </w:t>
      </w:r>
      <w:r>
        <w:rPr>
          <w:rFonts w:ascii="Arial" w:eastAsia="Arial" w:hAnsi="Arial" w:cs="Arial"/>
          <w:sz w:val="24"/>
          <w:szCs w:val="24"/>
          <w:highlight w:val="white"/>
        </w:rPr>
        <w:t xml:space="preserve">hacer visibles las convenciones de la escritura de tesis institucionalmente legitimadas (Lillis, 2025) a partir del </w:t>
      </w:r>
      <w:proofErr w:type="spellStart"/>
      <w:r>
        <w:rPr>
          <w:rFonts w:ascii="Arial" w:eastAsia="Arial" w:hAnsi="Arial" w:cs="Arial"/>
          <w:sz w:val="24"/>
          <w:szCs w:val="24"/>
          <w:highlight w:val="white"/>
        </w:rPr>
        <w:t>avistaje</w:t>
      </w:r>
      <w:proofErr w:type="spellEnd"/>
      <w:r>
        <w:rPr>
          <w:rFonts w:ascii="Arial" w:eastAsia="Arial" w:hAnsi="Arial" w:cs="Arial"/>
          <w:sz w:val="24"/>
          <w:szCs w:val="24"/>
          <w:highlight w:val="white"/>
        </w:rPr>
        <w:t xml:space="preserve"> de la variedad; de esta forma se buscó escapar de las “recetas” y vislumbrar que hay di</w:t>
      </w:r>
      <w:r>
        <w:rPr>
          <w:rFonts w:ascii="Arial" w:eastAsia="Arial" w:hAnsi="Arial" w:cs="Arial"/>
          <w:sz w:val="24"/>
          <w:szCs w:val="24"/>
          <w:highlight w:val="white"/>
        </w:rPr>
        <w:t xml:space="preserve">versos caminos para lograrlo con distintos </w:t>
      </w:r>
    </w:p>
    <w:p w14:paraId="2F17AB58" w14:textId="77777777" w:rsidR="00EF6793" w:rsidRDefault="00EF6793">
      <w:pPr>
        <w:spacing w:line="360" w:lineRule="auto"/>
        <w:jc w:val="both"/>
        <w:rPr>
          <w:rFonts w:ascii="Arial" w:eastAsia="Arial" w:hAnsi="Arial" w:cs="Arial"/>
          <w:sz w:val="24"/>
          <w:szCs w:val="24"/>
          <w:highlight w:val="white"/>
        </w:rPr>
      </w:pPr>
    </w:p>
    <w:p w14:paraId="43E7AD95" w14:textId="3869796B" w:rsidR="00F83D1D" w:rsidRDefault="005D2B33">
      <w:pPr>
        <w:spacing w:line="360" w:lineRule="auto"/>
        <w:jc w:val="both"/>
        <w:rPr>
          <w:rFonts w:ascii="Arial" w:eastAsia="Arial" w:hAnsi="Arial" w:cs="Arial"/>
          <w:sz w:val="24"/>
          <w:szCs w:val="24"/>
        </w:rPr>
      </w:pPr>
      <w:r>
        <w:rPr>
          <w:rFonts w:ascii="Arial" w:eastAsia="Arial" w:hAnsi="Arial" w:cs="Arial"/>
          <w:sz w:val="24"/>
          <w:szCs w:val="24"/>
          <w:highlight w:val="white"/>
        </w:rPr>
        <w:lastRenderedPageBreak/>
        <w:t xml:space="preserve">efectos. </w:t>
      </w:r>
      <w:r>
        <w:rPr>
          <w:rFonts w:ascii="Arial" w:eastAsia="Arial" w:hAnsi="Arial" w:cs="Arial"/>
          <w:sz w:val="24"/>
          <w:szCs w:val="24"/>
        </w:rPr>
        <w:t xml:space="preserve">A partir de este análisis, cada maestrando/a fue imaginando el tipo de trabajo que le gustaría realizar. Posteriormente, les solicitamos la </w:t>
      </w:r>
      <w:r>
        <w:rPr>
          <w:rFonts w:ascii="Arial" w:eastAsia="Arial" w:hAnsi="Arial" w:cs="Arial"/>
          <w:sz w:val="24"/>
          <w:szCs w:val="24"/>
        </w:rPr>
        <w:t xml:space="preserve">elaboración de sus propios índices que discutimos en sucesivos encuentros y reescribieron desplegándolos aún más e incorporando comentarios bajo cada subtítulo. Finalmente, para dar continuidad a la estrategia holística abordamos la escritura de las introducciones y la socialización de </w:t>
      </w:r>
      <w:proofErr w:type="gramStart"/>
      <w:r>
        <w:rPr>
          <w:rFonts w:ascii="Arial" w:eastAsia="Arial" w:hAnsi="Arial" w:cs="Arial"/>
          <w:sz w:val="24"/>
          <w:szCs w:val="24"/>
        </w:rPr>
        <w:t>las mismas</w:t>
      </w:r>
      <w:proofErr w:type="gramEnd"/>
      <w:r>
        <w:rPr>
          <w:rFonts w:ascii="Arial" w:eastAsia="Arial" w:hAnsi="Arial" w:cs="Arial"/>
          <w:sz w:val="24"/>
          <w:szCs w:val="24"/>
        </w:rPr>
        <w:t xml:space="preserve"> en sucesivos encuentros. Considerando la retroalimentación recibida del grupo, cerraron una versión preliminar de resumen, índice comentado e introducción que fue leída y comentada por las docentes del espacio para</w:t>
      </w:r>
      <w:r>
        <w:rPr>
          <w:rFonts w:ascii="Arial" w:eastAsia="Arial" w:hAnsi="Arial" w:cs="Arial"/>
          <w:sz w:val="24"/>
          <w:szCs w:val="24"/>
        </w:rPr>
        <w:t xml:space="preserve"> que, en diálogo con esa retroalimentación, revisaran y reescribieran la versión para su presentación en la mesa de final.</w:t>
      </w:r>
    </w:p>
    <w:p w14:paraId="43E7AD96" w14:textId="77777777" w:rsidR="00F83D1D" w:rsidRDefault="005D2B33">
      <w:pPr>
        <w:spacing w:line="360" w:lineRule="auto"/>
        <w:jc w:val="both"/>
        <w:rPr>
          <w:rFonts w:ascii="Arial" w:eastAsia="Arial" w:hAnsi="Arial" w:cs="Arial"/>
          <w:sz w:val="24"/>
          <w:szCs w:val="24"/>
        </w:rPr>
      </w:pPr>
      <w:r>
        <w:rPr>
          <w:rFonts w:ascii="Arial" w:eastAsia="Arial" w:hAnsi="Arial" w:cs="Arial"/>
          <w:sz w:val="24"/>
          <w:szCs w:val="24"/>
        </w:rPr>
        <w:t xml:space="preserve">En los encuentros semanales presenciales, se dispuso el </w:t>
      </w:r>
      <w:r>
        <w:rPr>
          <w:rFonts w:ascii="Arial" w:eastAsia="Arial" w:hAnsi="Arial" w:cs="Arial"/>
          <w:sz w:val="24"/>
          <w:szCs w:val="24"/>
          <w:highlight w:val="white"/>
        </w:rPr>
        <w:t>aula como una zona de contacto (Eisner, 2025). S</w:t>
      </w:r>
      <w:r>
        <w:rPr>
          <w:rFonts w:ascii="Arial" w:eastAsia="Arial" w:hAnsi="Arial" w:cs="Arial"/>
          <w:sz w:val="24"/>
          <w:szCs w:val="24"/>
        </w:rPr>
        <w:t>e abrió el espacio para la circulación de las palabras en torno al texto escrito: las/os autoras/es fundamentaban sus decisiones autorales, las/os colegas sus interpretaciones, sugerencias, aportes; todo ello en un clima de cuidado, respeto y generosidad que puso el foco en el objetivo de hacer contribuciones que permitieran mejorar las producciones, desplegar los procesos de agencia (Zavala, 2011) y encontrar las propias voces en los procesos de escritura, re</w:t>
      </w:r>
      <w:r>
        <w:rPr>
          <w:rFonts w:ascii="Arial" w:eastAsia="Arial" w:hAnsi="Arial" w:cs="Arial"/>
          <w:sz w:val="24"/>
          <w:szCs w:val="24"/>
        </w:rPr>
        <w:t>visión, discusión, reescritura para generar conocimientos sobre la Antártida.</w:t>
      </w:r>
    </w:p>
    <w:p w14:paraId="43E7AD97" w14:textId="77777777" w:rsidR="00F83D1D" w:rsidRDefault="005D2B33">
      <w:pPr>
        <w:spacing w:line="360" w:lineRule="auto"/>
        <w:jc w:val="both"/>
        <w:rPr>
          <w:rFonts w:ascii="Arial" w:eastAsia="Arial" w:hAnsi="Arial" w:cs="Arial"/>
          <w:sz w:val="24"/>
          <w:szCs w:val="24"/>
        </w:rPr>
      </w:pPr>
      <w:r>
        <w:rPr>
          <w:rFonts w:ascii="Arial" w:eastAsia="Arial" w:hAnsi="Arial" w:cs="Arial"/>
          <w:sz w:val="24"/>
          <w:szCs w:val="24"/>
        </w:rPr>
        <w:t>En términos numéricos, el dispositivo desplegado muestra significativos resultados, dado que todos/as los/as maestrandos/as que cursaron el taller, salvo una, presentaron sus versiones para la acreditación del espacio, lo que pareciera indicar la potencialidad de propuestas de enseñanza que acompañen los procesos de escritura y la búsqueda de la propia voz, y que afiancen la agencia de los sujetos.</w:t>
      </w:r>
    </w:p>
    <w:p w14:paraId="43E7AD9B" w14:textId="77777777" w:rsidR="00F83D1D" w:rsidRDefault="005D2B33">
      <w:pPr>
        <w:spacing w:line="360" w:lineRule="auto"/>
      </w:pPr>
      <w:r>
        <w:rPr>
          <w:rFonts w:ascii="Arial" w:eastAsia="Arial" w:hAnsi="Arial" w:cs="Arial"/>
          <w:b/>
          <w:bCs/>
          <w:sz w:val="24"/>
          <w:szCs w:val="24"/>
        </w:rPr>
        <w:t>Referencias</w:t>
      </w:r>
    </w:p>
    <w:p w14:paraId="43E7AD9C" w14:textId="77777777" w:rsidR="00F83D1D" w:rsidRDefault="005D2B33">
      <w:pPr>
        <w:spacing w:before="100" w:line="278" w:lineRule="auto"/>
        <w:jc w:val="both"/>
        <w:rPr>
          <w:rFonts w:ascii="Arial" w:eastAsia="Arial" w:hAnsi="Arial" w:cs="Arial"/>
          <w:sz w:val="24"/>
          <w:szCs w:val="24"/>
        </w:rPr>
      </w:pPr>
      <w:r>
        <w:rPr>
          <w:rFonts w:ascii="Arial" w:eastAsia="Arial" w:hAnsi="Arial" w:cs="Arial"/>
          <w:sz w:val="24"/>
          <w:szCs w:val="24"/>
        </w:rPr>
        <w:t xml:space="preserve">Barton, D. y M. Hamilton (2004). La literacidad entendida como práctica social. En V. Zavala, M. Niño-Murcia y P. Ames (eds.), </w:t>
      </w:r>
      <w:r>
        <w:rPr>
          <w:rFonts w:ascii="Arial" w:eastAsia="Arial" w:hAnsi="Arial" w:cs="Arial"/>
          <w:i/>
          <w:iCs/>
          <w:sz w:val="24"/>
          <w:szCs w:val="24"/>
        </w:rPr>
        <w:t xml:space="preserve">Escritura y sociedad. Nuevas perspectivas teóricas y etnográficas </w:t>
      </w:r>
      <w:r>
        <w:rPr>
          <w:rFonts w:ascii="Arial" w:eastAsia="Arial" w:hAnsi="Arial" w:cs="Arial"/>
          <w:sz w:val="24"/>
          <w:szCs w:val="24"/>
        </w:rPr>
        <w:t>(pp.109-139). Universidad del Pacífico.</w:t>
      </w:r>
    </w:p>
    <w:p w14:paraId="43E7AD9D" w14:textId="77777777" w:rsidR="00F83D1D" w:rsidRDefault="005D2B33">
      <w:pPr>
        <w:spacing w:line="360" w:lineRule="auto"/>
        <w:jc w:val="both"/>
        <w:rPr>
          <w:rFonts w:ascii="Arial" w:eastAsia="Arial" w:hAnsi="Arial" w:cs="Arial"/>
          <w:sz w:val="24"/>
          <w:szCs w:val="24"/>
        </w:rPr>
      </w:pPr>
      <w:r>
        <w:rPr>
          <w:rFonts w:ascii="Arial" w:eastAsia="Arial" w:hAnsi="Arial" w:cs="Arial"/>
          <w:sz w:val="24"/>
          <w:szCs w:val="24"/>
          <w:highlight w:val="white"/>
        </w:rPr>
        <w:lastRenderedPageBreak/>
        <w:t xml:space="preserve">Carlino, P. (2013). Alfabetización académica diez años después. </w:t>
      </w:r>
      <w:r>
        <w:rPr>
          <w:rFonts w:ascii="Arial" w:eastAsia="Arial" w:hAnsi="Arial" w:cs="Arial"/>
          <w:i/>
          <w:iCs/>
          <w:sz w:val="24"/>
          <w:szCs w:val="24"/>
          <w:highlight w:val="white"/>
        </w:rPr>
        <w:t>Revista mexicana de investigación educativa</w:t>
      </w:r>
      <w:r>
        <w:rPr>
          <w:rFonts w:ascii="Arial" w:eastAsia="Arial" w:hAnsi="Arial" w:cs="Arial"/>
          <w:sz w:val="24"/>
          <w:szCs w:val="24"/>
          <w:highlight w:val="white"/>
        </w:rPr>
        <w:t xml:space="preserve">, </w:t>
      </w:r>
      <w:r>
        <w:rPr>
          <w:rFonts w:ascii="Arial" w:eastAsia="Arial" w:hAnsi="Arial" w:cs="Arial"/>
          <w:i/>
          <w:iCs/>
          <w:sz w:val="24"/>
          <w:szCs w:val="24"/>
          <w:highlight w:val="white"/>
        </w:rPr>
        <w:t>18</w:t>
      </w:r>
      <w:r>
        <w:rPr>
          <w:rFonts w:ascii="Arial" w:eastAsia="Arial" w:hAnsi="Arial" w:cs="Arial"/>
          <w:sz w:val="24"/>
          <w:szCs w:val="24"/>
          <w:highlight w:val="white"/>
        </w:rPr>
        <w:t>(57), 355-381.</w:t>
      </w:r>
    </w:p>
    <w:p w14:paraId="43E7AD9E" w14:textId="77777777" w:rsidR="00F83D1D" w:rsidRDefault="005D2B33">
      <w:pPr>
        <w:spacing w:after="160" w:line="278" w:lineRule="auto"/>
        <w:jc w:val="both"/>
        <w:rPr>
          <w:rFonts w:ascii="Arial" w:eastAsia="Arial" w:hAnsi="Arial" w:cs="Arial"/>
          <w:color w:val="222222"/>
          <w:sz w:val="24"/>
          <w:szCs w:val="24"/>
          <w:highlight w:val="white"/>
        </w:rPr>
      </w:pPr>
      <w:r>
        <w:rPr>
          <w:rFonts w:ascii="Arial" w:eastAsia="Arial" w:hAnsi="Arial" w:cs="Arial"/>
          <w:sz w:val="24"/>
          <w:szCs w:val="24"/>
        </w:rPr>
        <w:t xml:space="preserve">Eisner, L. (2025). Del déficit al contacto. Perspectivas sociolingüísticas sobre las literacidades en las aulas. </w:t>
      </w:r>
      <w:proofErr w:type="spellStart"/>
      <w:r>
        <w:rPr>
          <w:rFonts w:ascii="Arial" w:eastAsia="Arial" w:hAnsi="Arial" w:cs="Arial"/>
          <w:i/>
          <w:iCs/>
          <w:sz w:val="24"/>
          <w:szCs w:val="24"/>
        </w:rPr>
        <w:t>Magis</w:t>
      </w:r>
      <w:proofErr w:type="spellEnd"/>
      <w:r>
        <w:rPr>
          <w:rFonts w:ascii="Arial" w:eastAsia="Arial" w:hAnsi="Arial" w:cs="Arial"/>
          <w:i/>
          <w:iCs/>
          <w:sz w:val="24"/>
          <w:szCs w:val="24"/>
        </w:rPr>
        <w:t>, Revista Internacional de Investigación en Educación</w:t>
      </w:r>
      <w:r>
        <w:rPr>
          <w:rFonts w:ascii="Arial" w:eastAsia="Arial" w:hAnsi="Arial" w:cs="Arial"/>
          <w:sz w:val="24"/>
          <w:szCs w:val="24"/>
        </w:rPr>
        <w:t xml:space="preserve">, 18, 1-24. </w:t>
      </w:r>
      <w:hyperlink r:id="rId7">
        <w:r>
          <w:rPr>
            <w:rFonts w:ascii="Arial" w:eastAsia="Arial" w:hAnsi="Arial" w:cs="Arial"/>
            <w:color w:val="0563C1"/>
            <w:sz w:val="24"/>
            <w:szCs w:val="24"/>
            <w:u w:val="single"/>
          </w:rPr>
          <w:t>https://doi.org/10.11144/Javeriana.m18.dcps</w:t>
        </w:r>
      </w:hyperlink>
    </w:p>
    <w:p w14:paraId="43E7AD9F" w14:textId="77777777" w:rsidR="00F83D1D" w:rsidRDefault="005D2B33">
      <w:pPr>
        <w:spacing w:line="360" w:lineRule="auto"/>
        <w:jc w:val="both"/>
        <w:rPr>
          <w:rFonts w:ascii="Arial" w:eastAsia="Arial" w:hAnsi="Arial" w:cs="Arial"/>
          <w:sz w:val="24"/>
          <w:szCs w:val="24"/>
        </w:rPr>
      </w:pPr>
      <w:r>
        <w:rPr>
          <w:rFonts w:ascii="Arial" w:eastAsia="Arial" w:hAnsi="Arial" w:cs="Arial"/>
          <w:sz w:val="24"/>
          <w:szCs w:val="24"/>
        </w:rPr>
        <w:t xml:space="preserve">Kalman, J. (2008). Discusiones conceptuales en el campo de la cultura escrita. </w:t>
      </w:r>
      <w:r>
        <w:rPr>
          <w:rFonts w:ascii="Arial" w:eastAsia="Arial" w:hAnsi="Arial" w:cs="Arial"/>
          <w:i/>
          <w:iCs/>
          <w:sz w:val="24"/>
          <w:szCs w:val="24"/>
        </w:rPr>
        <w:t>Revista iberoamericana de educación</w:t>
      </w:r>
      <w:r>
        <w:rPr>
          <w:rFonts w:ascii="Arial" w:eastAsia="Arial" w:hAnsi="Arial" w:cs="Arial"/>
          <w:sz w:val="24"/>
          <w:szCs w:val="24"/>
        </w:rPr>
        <w:t>, 46, 107-134.</w:t>
      </w:r>
    </w:p>
    <w:p w14:paraId="43E7ADA0" w14:textId="77777777" w:rsidR="00F83D1D" w:rsidRDefault="005D2B33">
      <w:pPr>
        <w:spacing w:after="160" w:line="278" w:lineRule="auto"/>
        <w:jc w:val="both"/>
        <w:rPr>
          <w:rFonts w:ascii="Arial" w:eastAsia="Arial" w:hAnsi="Arial" w:cs="Arial"/>
          <w:sz w:val="24"/>
          <w:szCs w:val="24"/>
        </w:rPr>
      </w:pPr>
      <w:r>
        <w:rPr>
          <w:rFonts w:ascii="Arial" w:eastAsia="Arial" w:hAnsi="Arial" w:cs="Arial"/>
          <w:sz w:val="24"/>
          <w:szCs w:val="24"/>
        </w:rPr>
        <w:t xml:space="preserve">Lillis, T. (2025). La escritura académica y la democratización del mundo académico: “desprendimientos” claves para abrir participación y diálogo. En F. Castagno y D. Waigandt (Eds.), Universidades </w:t>
      </w:r>
      <w:proofErr w:type="spellStart"/>
      <w:r>
        <w:rPr>
          <w:rFonts w:ascii="Arial" w:eastAsia="Arial" w:hAnsi="Arial" w:cs="Arial"/>
          <w:sz w:val="24"/>
          <w:szCs w:val="24"/>
        </w:rPr>
        <w:t>multiletradas</w:t>
      </w:r>
      <w:proofErr w:type="spellEnd"/>
      <w:r>
        <w:rPr>
          <w:rFonts w:ascii="Arial" w:eastAsia="Arial" w:hAnsi="Arial" w:cs="Arial"/>
          <w:sz w:val="24"/>
          <w:szCs w:val="24"/>
        </w:rPr>
        <w:t>. Pensar y hacer en red (pp. 323-351). Anarchivo/eduner. </w:t>
      </w:r>
      <w:hyperlink r:id="rId8">
        <w:r>
          <w:rPr>
            <w:rFonts w:ascii="Arial" w:eastAsia="Arial" w:hAnsi="Arial" w:cs="Arial"/>
            <w:color w:val="0563C1"/>
            <w:sz w:val="24"/>
            <w:szCs w:val="24"/>
            <w:u w:val="single"/>
          </w:rPr>
          <w:t>https://editoriales.facultades.unc.edu.ar/index.php/anarchivo/catalog/view/80/352/5906</w:t>
        </w:r>
      </w:hyperlink>
    </w:p>
    <w:p w14:paraId="43E7ADA1" w14:textId="77777777" w:rsidR="00F83D1D" w:rsidRDefault="005D2B33">
      <w:pPr>
        <w:spacing w:after="160" w:line="278" w:lineRule="auto"/>
        <w:jc w:val="both"/>
        <w:rPr>
          <w:rFonts w:ascii="Arial" w:eastAsia="Arial" w:hAnsi="Arial" w:cs="Arial"/>
          <w:color w:val="1155CC"/>
          <w:sz w:val="24"/>
          <w:szCs w:val="24"/>
          <w:u w:val="single"/>
        </w:rPr>
      </w:pPr>
      <w:r>
        <w:rPr>
          <w:rFonts w:ascii="Arial" w:eastAsia="Arial" w:hAnsi="Arial" w:cs="Arial"/>
          <w:sz w:val="24"/>
          <w:szCs w:val="24"/>
        </w:rPr>
        <w:t xml:space="preserve">Lillis, T. (2024). Cerrando la brecha entre texto y contexto en la investigación sobre la escritura académica: revisitando la etnografía como método, metodología y teorización profunda. </w:t>
      </w:r>
      <w:r>
        <w:rPr>
          <w:rFonts w:ascii="Arial" w:eastAsia="Arial" w:hAnsi="Arial" w:cs="Arial"/>
          <w:i/>
          <w:iCs/>
          <w:sz w:val="24"/>
          <w:szCs w:val="24"/>
        </w:rPr>
        <w:t>Cuadernos del Sur Letras</w:t>
      </w:r>
      <w:r>
        <w:rPr>
          <w:rFonts w:ascii="Arial" w:eastAsia="Arial" w:hAnsi="Arial" w:cs="Arial"/>
          <w:sz w:val="24"/>
          <w:szCs w:val="24"/>
        </w:rPr>
        <w:t>, (54), 17-53.</w:t>
      </w:r>
      <w:hyperlink r:id="rId9">
        <w:r>
          <w:rPr>
            <w:rFonts w:ascii="Arial" w:eastAsia="Arial" w:hAnsi="Arial" w:cs="Arial"/>
            <w:sz w:val="24"/>
            <w:szCs w:val="24"/>
          </w:rPr>
          <w:t xml:space="preserve"> </w:t>
        </w:r>
      </w:hyperlink>
      <w:hyperlink r:id="rId10">
        <w:r>
          <w:rPr>
            <w:rFonts w:ascii="Arial" w:eastAsia="Arial" w:hAnsi="Arial" w:cs="Arial"/>
            <w:color w:val="1155CC"/>
            <w:sz w:val="24"/>
            <w:szCs w:val="24"/>
            <w:u w:val="single"/>
          </w:rPr>
          <w:t>https://doi.org/10.52292/csl5420244674</w:t>
        </w:r>
      </w:hyperlink>
    </w:p>
    <w:p w14:paraId="43E7ADA2" w14:textId="77777777" w:rsidR="00F83D1D" w:rsidRDefault="005D2B33">
      <w:pPr>
        <w:spacing w:after="160" w:line="278" w:lineRule="auto"/>
        <w:jc w:val="both"/>
        <w:rPr>
          <w:rFonts w:ascii="Arial" w:eastAsia="Arial" w:hAnsi="Arial" w:cs="Arial"/>
          <w:sz w:val="24"/>
          <w:szCs w:val="24"/>
        </w:rPr>
      </w:pPr>
      <w:r>
        <w:rPr>
          <w:rFonts w:ascii="Arial" w:eastAsia="Arial" w:hAnsi="Arial" w:cs="Arial"/>
          <w:sz w:val="24"/>
          <w:szCs w:val="24"/>
        </w:rPr>
        <w:t xml:space="preserve">Street, B. (2004). Los Nuevos Estudios de Literacidad. En V. Zavala, M. Niño-Murcia y P. Ames (eds.), </w:t>
      </w:r>
      <w:r>
        <w:rPr>
          <w:rFonts w:ascii="Arial" w:eastAsia="Arial" w:hAnsi="Arial" w:cs="Arial"/>
          <w:i/>
          <w:iCs/>
          <w:sz w:val="24"/>
          <w:szCs w:val="24"/>
        </w:rPr>
        <w:t xml:space="preserve">Escritura y sociedad. Nuevas perspectivas teóricas y etnográficas </w:t>
      </w:r>
      <w:r>
        <w:rPr>
          <w:rFonts w:ascii="Arial" w:eastAsia="Arial" w:hAnsi="Arial" w:cs="Arial"/>
          <w:sz w:val="24"/>
          <w:szCs w:val="24"/>
        </w:rPr>
        <w:t>(pp.81-108). Universidad del Pacífico.</w:t>
      </w:r>
    </w:p>
    <w:p w14:paraId="43E7ADA3" w14:textId="77777777" w:rsidR="00F83D1D" w:rsidRDefault="005D2B33">
      <w:pPr>
        <w:spacing w:before="120" w:after="120" w:line="360" w:lineRule="auto"/>
        <w:jc w:val="both"/>
        <w:rPr>
          <w:rFonts w:ascii="Arial" w:eastAsia="Arial" w:hAnsi="Arial" w:cs="Arial"/>
          <w:sz w:val="24"/>
          <w:szCs w:val="24"/>
        </w:rPr>
      </w:pPr>
      <w:r>
        <w:rPr>
          <w:rFonts w:ascii="Arial" w:eastAsia="Arial" w:hAnsi="Arial" w:cs="Arial"/>
          <w:sz w:val="24"/>
          <w:szCs w:val="24"/>
        </w:rPr>
        <w:t xml:space="preserve">Zavala, V. (2011). La escritura académica y la agencia de los sujetos. </w:t>
      </w:r>
      <w:r>
        <w:rPr>
          <w:rFonts w:ascii="Arial" w:eastAsia="Arial" w:hAnsi="Arial" w:cs="Arial"/>
          <w:i/>
          <w:iCs/>
          <w:sz w:val="24"/>
          <w:szCs w:val="24"/>
        </w:rPr>
        <w:t>Cuadernos comillas</w:t>
      </w:r>
      <w:r>
        <w:rPr>
          <w:rFonts w:ascii="Arial" w:eastAsia="Arial" w:hAnsi="Arial" w:cs="Arial"/>
          <w:sz w:val="24"/>
          <w:szCs w:val="24"/>
        </w:rPr>
        <w:t xml:space="preserve">, </w:t>
      </w:r>
      <w:r>
        <w:rPr>
          <w:rFonts w:ascii="Arial" w:eastAsia="Arial" w:hAnsi="Arial" w:cs="Arial"/>
          <w:i/>
          <w:iCs/>
          <w:sz w:val="24"/>
          <w:szCs w:val="24"/>
        </w:rPr>
        <w:t>1</w:t>
      </w:r>
      <w:r>
        <w:rPr>
          <w:rFonts w:ascii="Arial" w:eastAsia="Arial" w:hAnsi="Arial" w:cs="Arial"/>
          <w:sz w:val="24"/>
          <w:szCs w:val="24"/>
        </w:rPr>
        <w:t>(56), 52-66.</w:t>
      </w:r>
    </w:p>
    <w:p w14:paraId="43E7ADA4" w14:textId="77777777" w:rsidR="00F83D1D" w:rsidRDefault="00F83D1D">
      <w:pPr>
        <w:spacing w:line="360" w:lineRule="auto"/>
        <w:jc w:val="both"/>
        <w:rPr>
          <w:rFonts w:ascii="Arial" w:eastAsia="Arial" w:hAnsi="Arial" w:cs="Arial"/>
          <w:sz w:val="24"/>
          <w:szCs w:val="24"/>
        </w:rPr>
      </w:pPr>
    </w:p>
    <w:sectPr w:rsidR="00F83D1D" w:rsidSect="00EF6793">
      <w:headerReference w:type="default" r:id="rId11"/>
      <w:footerReference w:type="default" r:id="rId12"/>
      <w:pgSz w:w="12240" w:h="15840"/>
      <w:pgMar w:top="1417" w:right="1417" w:bottom="1417" w:left="1417" w:header="794"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13692" w14:textId="77777777" w:rsidR="005D2B33" w:rsidRDefault="005D2B33">
      <w:pPr>
        <w:spacing w:after="0" w:line="240" w:lineRule="auto"/>
      </w:pPr>
      <w:r>
        <w:separator/>
      </w:r>
    </w:p>
  </w:endnote>
  <w:endnote w:type="continuationSeparator" w:id="0">
    <w:p w14:paraId="3A043E0C" w14:textId="77777777" w:rsidR="005D2B33" w:rsidRDefault="005D2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7730EB34-9C8C-49F2-A649-EEA55A722A59}"/>
  </w:font>
  <w:font w:name="Calibri">
    <w:panose1 w:val="020F0502020204030204"/>
    <w:charset w:val="00"/>
    <w:family w:val="swiss"/>
    <w:pitch w:val="variable"/>
    <w:sig w:usb0="E4002EFF" w:usb1="C200247B" w:usb2="00000009" w:usb3="00000000" w:csb0="000001FF" w:csb1="00000000"/>
    <w:embedRegular r:id="rId2" w:fontKey="{BD290302-3BE8-4006-8E3C-F971DA74042C}"/>
    <w:embedBold r:id="rId3" w:fontKey="{538619CF-3166-448C-9434-6A18466E0EF7}"/>
    <w:embedItalic r:id="rId4" w:fontKey="{5F381E0A-2DDD-4830-85E2-69C04293D183}"/>
    <w:embedBoldItalic r:id="rId5" w:fontKey="{1547B2D1-E911-452D-B97C-5C1EB7B3097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7ADA7" w14:textId="77777777" w:rsidR="00F83D1D" w:rsidRDefault="005D2B33">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Instituto de la Educación y del Conocimiento</w:t>
    </w:r>
  </w:p>
  <w:p w14:paraId="43E7ADA8" w14:textId="77777777" w:rsidR="00F83D1D" w:rsidRDefault="005D2B33">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B29DB" w14:textId="77777777" w:rsidR="005D2B33" w:rsidRDefault="005D2B33">
      <w:pPr>
        <w:spacing w:after="0" w:line="240" w:lineRule="auto"/>
      </w:pPr>
      <w:r>
        <w:separator/>
      </w:r>
    </w:p>
  </w:footnote>
  <w:footnote w:type="continuationSeparator" w:id="0">
    <w:p w14:paraId="078351BC" w14:textId="77777777" w:rsidR="005D2B33" w:rsidRDefault="005D2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EAF4B" w14:textId="43B14A33" w:rsidR="00186A85" w:rsidRDefault="00186A85">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43E7ADA9" wp14:editId="6D2896DE">
          <wp:simplePos x="0" y="0"/>
          <wp:positionH relativeFrom="column">
            <wp:posOffset>1055370</wp:posOffset>
          </wp:positionH>
          <wp:positionV relativeFrom="paragraph">
            <wp:posOffset>-331026</wp:posOffset>
          </wp:positionV>
          <wp:extent cx="4332605" cy="1246505"/>
          <wp:effectExtent l="0" t="0" r="0" b="0"/>
          <wp:wrapSquare wrapText="bothSides" distT="0" distB="0" distL="114300" distR="114300"/>
          <wp:docPr id="211106705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332605" cy="1246505"/>
                  </a:xfrm>
                  <a:prstGeom prst="rect">
                    <a:avLst/>
                  </a:prstGeom>
                  <a:ln/>
                </pic:spPr>
              </pic:pic>
            </a:graphicData>
          </a:graphic>
        </wp:anchor>
      </w:drawing>
    </w:r>
  </w:p>
  <w:p w14:paraId="43E7ADA6" w14:textId="5A427C8E" w:rsidR="00F83D1D" w:rsidRDefault="00F83D1D">
    <w:pPr>
      <w:pBdr>
        <w:top w:val="nil"/>
        <w:left w:val="nil"/>
        <w:bottom w:val="nil"/>
        <w:right w:val="nil"/>
        <w:between w:val="nil"/>
      </w:pBdr>
      <w:tabs>
        <w:tab w:val="center" w:pos="4680"/>
        <w:tab w:val="right" w:pos="9360"/>
      </w:tabs>
      <w:spacing w:after="0" w:line="240" w:lineRule="auto"/>
      <w:rPr>
        <w:color w:val="000000"/>
      </w:rPr>
    </w:pPr>
  </w:p>
  <w:p w14:paraId="396C8679" w14:textId="77777777" w:rsidR="00186A85" w:rsidRDefault="00186A85">
    <w:pPr>
      <w:pBdr>
        <w:top w:val="nil"/>
        <w:left w:val="nil"/>
        <w:bottom w:val="nil"/>
        <w:right w:val="nil"/>
        <w:between w:val="nil"/>
      </w:pBdr>
      <w:tabs>
        <w:tab w:val="center" w:pos="4680"/>
        <w:tab w:val="right" w:pos="9360"/>
      </w:tabs>
      <w:spacing w:after="0" w:line="240" w:lineRule="auto"/>
      <w:rPr>
        <w:color w:val="000000"/>
      </w:rPr>
    </w:pPr>
  </w:p>
  <w:p w14:paraId="2BC2A4F1" w14:textId="77777777" w:rsidR="00186A85" w:rsidRDefault="00186A85">
    <w:pPr>
      <w:pBdr>
        <w:top w:val="nil"/>
        <w:left w:val="nil"/>
        <w:bottom w:val="nil"/>
        <w:right w:val="nil"/>
        <w:between w:val="nil"/>
      </w:pBdr>
      <w:tabs>
        <w:tab w:val="center" w:pos="4680"/>
        <w:tab w:val="right" w:pos="9360"/>
      </w:tabs>
      <w:spacing w:after="0" w:line="240" w:lineRule="auto"/>
      <w:rPr>
        <w:color w:val="000000"/>
      </w:rPr>
    </w:pPr>
  </w:p>
  <w:p w14:paraId="266E86F1" w14:textId="77777777" w:rsidR="00186A85" w:rsidRDefault="00186A85">
    <w:pPr>
      <w:pBdr>
        <w:top w:val="nil"/>
        <w:left w:val="nil"/>
        <w:bottom w:val="nil"/>
        <w:right w:val="nil"/>
        <w:between w:val="nil"/>
      </w:pBdr>
      <w:tabs>
        <w:tab w:val="center" w:pos="4680"/>
        <w:tab w:val="right" w:pos="9360"/>
      </w:tabs>
      <w:spacing w:after="0" w:line="240" w:lineRule="auto"/>
      <w:rPr>
        <w:color w:val="000000"/>
      </w:rPr>
    </w:pPr>
  </w:p>
  <w:p w14:paraId="6E1D5D76" w14:textId="77777777" w:rsidR="00186A85" w:rsidRDefault="00186A8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D1D"/>
    <w:rsid w:val="00186A85"/>
    <w:rsid w:val="0021498E"/>
    <w:rsid w:val="00533FB7"/>
    <w:rsid w:val="005D2B33"/>
    <w:rsid w:val="00C271E3"/>
    <w:rsid w:val="00EF6793"/>
    <w:rsid w:val="00F83D1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7AD84"/>
  <w15:docId w15:val="{19D9A76B-6B7E-4773-98CE-B2CA4B7CB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tulo">
    <w:name w:val="Subtitle"/>
    <w:basedOn w:val="Normal"/>
    <w:next w:val="Normal"/>
    <w:uiPriority w:val="11"/>
    <w:qFormat/>
    <w:rPr>
      <w:rFonts w:ascii="Calibri" w:eastAsia="Calibri" w:hAnsi="Calibri" w:cs="Calibri"/>
      <w:i/>
      <w:iCs/>
      <w:color w:val="4F81BD"/>
      <w:sz w:val="24"/>
      <w:szCs w:val="24"/>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EF679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F6793"/>
  </w:style>
  <w:style w:type="paragraph" w:styleId="Piedepgina">
    <w:name w:val="footer"/>
    <w:basedOn w:val="Normal"/>
    <w:link w:val="PiedepginaCar"/>
    <w:uiPriority w:val="99"/>
    <w:unhideWhenUsed/>
    <w:rsid w:val="00EF679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F6793"/>
  </w:style>
  <w:style w:type="paragraph" w:styleId="NormalWeb">
    <w:name w:val="Normal (Web)"/>
    <w:basedOn w:val="Normal"/>
    <w:uiPriority w:val="99"/>
    <w:semiHidden/>
    <w:unhideWhenUsed/>
    <w:rsid w:val="00C271E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ditoriales.facultades.unc.edu.ar/index.php/anarchivo/catalog/view/80/352/590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144/Javeriana.m18.dcp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52292/csl5420244674" TargetMode="External"/><Relationship Id="rId4" Type="http://schemas.openxmlformats.org/officeDocument/2006/relationships/webSettings" Target="webSettings.xml"/><Relationship Id="rId9" Type="http://schemas.openxmlformats.org/officeDocument/2006/relationships/hyperlink" Target="https://doi.org/10.52292/csl5420244674"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wU93Zqo2raGgvDCiaReOCJLzbw==">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1092</Words>
  <Characters>6009</Characters>
  <Application>Microsoft Office Word</Application>
  <DocSecurity>0</DocSecurity>
  <Lines>50</Lines>
  <Paragraphs>14</Paragraphs>
  <ScaleCrop>false</ScaleCrop>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Cohen</cp:lastModifiedBy>
  <cp:revision>5</cp:revision>
  <dcterms:created xsi:type="dcterms:W3CDTF">2026-05-05T16:40:00Z</dcterms:created>
  <dcterms:modified xsi:type="dcterms:W3CDTF">2026-05-05T17:00:00Z</dcterms:modified>
</cp:coreProperties>
</file>