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9DE" w:rsidRDefault="00F73FDA">
      <w:pPr>
        <w:spacing w:line="360" w:lineRule="auto"/>
        <w:jc w:val="center"/>
        <w:rPr>
          <w:rFonts w:ascii="Arial" w:eastAsia="Arial" w:hAnsi="Arial"/>
          <w:b/>
          <w:sz w:val="28"/>
          <w:lang w:val="es-AR"/>
        </w:rPr>
      </w:pPr>
      <w:r>
        <w:rPr>
          <w:rFonts w:ascii="Arial" w:eastAsia="Arial" w:hAnsi="Arial"/>
          <w:b/>
          <w:sz w:val="28"/>
          <w:lang w:val="es-AR"/>
        </w:rPr>
        <w:t xml:space="preserve">Trayectorias académicas en Álgebra Lineal y Geometría Analítica: análisis del desempeño estudiantil en la cohorte 2024 </w:t>
      </w:r>
    </w:p>
    <w:p w:rsidR="00D349DE" w:rsidRDefault="00F73FDA">
      <w:pPr>
        <w:spacing w:line="360" w:lineRule="auto"/>
        <w:jc w:val="center"/>
        <w:rPr>
          <w:rFonts w:ascii="Arial" w:eastAsia="Arial" w:hAnsi="Arial"/>
          <w:b/>
          <w:sz w:val="28"/>
        </w:rPr>
      </w:pPr>
      <w:r w:rsidRPr="00693CBC">
        <w:rPr>
          <w:rFonts w:ascii="Arial" w:eastAsia="Arial" w:hAnsi="Arial"/>
          <w:b/>
          <w:sz w:val="28"/>
        </w:rPr>
        <w:t xml:space="preserve">Academic trajectories in Linear Algebra and Analytic Geometry: analysis of student performance in the 2024 cohort </w:t>
      </w:r>
    </w:p>
    <w:p w:rsidR="00C749E0" w:rsidRDefault="00F73FDA">
      <w:pPr>
        <w:spacing w:line="360" w:lineRule="auto"/>
        <w:jc w:val="center"/>
        <w:rPr>
          <w:rFonts w:ascii="Arial" w:eastAsia="Arial" w:hAnsi="Arial"/>
          <w:b/>
          <w:sz w:val="28"/>
          <w:lang w:val="es-AR"/>
        </w:rPr>
      </w:pPr>
      <w:proofErr w:type="spellStart"/>
      <w:r>
        <w:rPr>
          <w:rFonts w:ascii="Arial" w:eastAsia="Arial" w:hAnsi="Arial"/>
          <w:b/>
          <w:sz w:val="28"/>
          <w:lang w:val="es-AR"/>
        </w:rPr>
        <w:t>Trajetórias</w:t>
      </w:r>
      <w:proofErr w:type="spellEnd"/>
      <w:r>
        <w:rPr>
          <w:rFonts w:ascii="Arial" w:eastAsia="Arial" w:hAnsi="Arial"/>
          <w:b/>
          <w:sz w:val="28"/>
          <w:lang w:val="es-AR"/>
        </w:rPr>
        <w:t xml:space="preserve"> </w:t>
      </w:r>
      <w:proofErr w:type="spellStart"/>
      <w:r>
        <w:rPr>
          <w:rFonts w:ascii="Arial" w:eastAsia="Arial" w:hAnsi="Arial"/>
          <w:b/>
          <w:sz w:val="28"/>
          <w:lang w:val="es-AR"/>
        </w:rPr>
        <w:t>acadêmicas</w:t>
      </w:r>
      <w:proofErr w:type="spellEnd"/>
      <w:r>
        <w:rPr>
          <w:rFonts w:ascii="Arial" w:eastAsia="Arial" w:hAnsi="Arial"/>
          <w:b/>
          <w:sz w:val="28"/>
          <w:lang w:val="es-AR"/>
        </w:rPr>
        <w:t xml:space="preserve"> </w:t>
      </w:r>
      <w:proofErr w:type="spellStart"/>
      <w:r>
        <w:rPr>
          <w:rFonts w:ascii="Arial" w:eastAsia="Arial" w:hAnsi="Arial"/>
          <w:b/>
          <w:sz w:val="28"/>
          <w:lang w:val="es-AR"/>
        </w:rPr>
        <w:t>em</w:t>
      </w:r>
      <w:proofErr w:type="spellEnd"/>
      <w:r>
        <w:rPr>
          <w:rFonts w:ascii="Arial" w:eastAsia="Arial" w:hAnsi="Arial"/>
          <w:b/>
          <w:sz w:val="28"/>
          <w:lang w:val="es-AR"/>
        </w:rPr>
        <w:t xml:space="preserve"> Álgebra Linear e </w:t>
      </w:r>
      <w:proofErr w:type="spellStart"/>
      <w:r>
        <w:rPr>
          <w:rFonts w:ascii="Arial" w:eastAsia="Arial" w:hAnsi="Arial"/>
          <w:b/>
          <w:sz w:val="28"/>
          <w:lang w:val="es-AR"/>
        </w:rPr>
        <w:t>Geometria</w:t>
      </w:r>
      <w:proofErr w:type="spellEnd"/>
      <w:r>
        <w:rPr>
          <w:rFonts w:ascii="Arial" w:eastAsia="Arial" w:hAnsi="Arial"/>
          <w:b/>
          <w:sz w:val="28"/>
          <w:lang w:val="es-AR"/>
        </w:rPr>
        <w:t xml:space="preserve"> Analítica: </w:t>
      </w:r>
      <w:proofErr w:type="spellStart"/>
      <w:r>
        <w:rPr>
          <w:rFonts w:ascii="Arial" w:eastAsia="Arial" w:hAnsi="Arial"/>
          <w:b/>
          <w:sz w:val="28"/>
          <w:lang w:val="es-AR"/>
        </w:rPr>
        <w:t>análise</w:t>
      </w:r>
      <w:proofErr w:type="spellEnd"/>
      <w:r>
        <w:rPr>
          <w:rFonts w:ascii="Arial" w:eastAsia="Arial" w:hAnsi="Arial"/>
          <w:b/>
          <w:sz w:val="28"/>
          <w:lang w:val="es-AR"/>
        </w:rPr>
        <w:t xml:space="preserve"> do </w:t>
      </w:r>
      <w:proofErr w:type="spellStart"/>
      <w:r>
        <w:rPr>
          <w:rFonts w:ascii="Arial" w:eastAsia="Arial" w:hAnsi="Arial"/>
          <w:b/>
          <w:sz w:val="28"/>
          <w:lang w:val="es-AR"/>
        </w:rPr>
        <w:t>desempenho</w:t>
      </w:r>
      <w:proofErr w:type="spellEnd"/>
      <w:r>
        <w:rPr>
          <w:rFonts w:ascii="Arial" w:eastAsia="Arial" w:hAnsi="Arial"/>
          <w:b/>
          <w:sz w:val="28"/>
          <w:lang w:val="es-AR"/>
        </w:rPr>
        <w:t xml:space="preserve"> </w:t>
      </w:r>
      <w:proofErr w:type="spellStart"/>
      <w:r>
        <w:rPr>
          <w:rFonts w:ascii="Arial" w:eastAsia="Arial" w:hAnsi="Arial"/>
          <w:b/>
          <w:sz w:val="28"/>
          <w:lang w:val="es-AR"/>
        </w:rPr>
        <w:t>estudantil</w:t>
      </w:r>
      <w:proofErr w:type="spellEnd"/>
      <w:r>
        <w:rPr>
          <w:rFonts w:ascii="Arial" w:eastAsia="Arial" w:hAnsi="Arial"/>
          <w:b/>
          <w:sz w:val="28"/>
          <w:lang w:val="es-AR"/>
        </w:rPr>
        <w:t xml:space="preserve"> n</w:t>
      </w:r>
      <w:r w:rsidR="00D349DE">
        <w:rPr>
          <w:rFonts w:ascii="Arial" w:eastAsia="Arial" w:hAnsi="Arial"/>
          <w:b/>
          <w:sz w:val="28"/>
          <w:lang w:val="es-AR"/>
        </w:rPr>
        <w:t xml:space="preserve">a </w:t>
      </w:r>
      <w:proofErr w:type="spellStart"/>
      <w:r w:rsidR="00D349DE">
        <w:rPr>
          <w:rFonts w:ascii="Arial" w:eastAsia="Arial" w:hAnsi="Arial"/>
          <w:b/>
          <w:sz w:val="28"/>
          <w:lang w:val="es-AR"/>
        </w:rPr>
        <w:t>coorte</w:t>
      </w:r>
      <w:proofErr w:type="spellEnd"/>
      <w:r w:rsidR="00D349DE">
        <w:rPr>
          <w:rFonts w:ascii="Arial" w:eastAsia="Arial" w:hAnsi="Arial"/>
          <w:b/>
          <w:sz w:val="28"/>
          <w:lang w:val="es-AR"/>
        </w:rPr>
        <w:t xml:space="preserve"> 2024 </w:t>
      </w:r>
    </w:p>
    <w:p w:rsidR="006132F6" w:rsidRDefault="006132F6" w:rsidP="006132F6">
      <w:pPr>
        <w:spacing w:line="360" w:lineRule="auto"/>
        <w:jc w:val="center"/>
        <w:rPr>
          <w:lang w:val="es-AR"/>
        </w:rPr>
      </w:pPr>
      <w:r w:rsidRPr="000409CB">
        <w:rPr>
          <w:lang w:val="es-AR"/>
        </w:rPr>
        <w:t xml:space="preserve">Maras Patricia Mónica </w:t>
      </w:r>
      <w:r w:rsidRPr="000409CB">
        <w:rPr>
          <w:rStyle w:val="Refdenotaalpie"/>
          <w:lang w:val="es-AR"/>
        </w:rPr>
        <w:footnoteReference w:id="1"/>
      </w:r>
      <w:r w:rsidRPr="000409CB">
        <w:rPr>
          <w:lang w:val="es-AR"/>
        </w:rPr>
        <w:t xml:space="preserve">, </w:t>
      </w:r>
      <w:proofErr w:type="spellStart"/>
      <w:r w:rsidRPr="000409CB">
        <w:rPr>
          <w:lang w:val="es-AR"/>
        </w:rPr>
        <w:t>Gruszycki</w:t>
      </w:r>
      <w:proofErr w:type="spellEnd"/>
      <w:r w:rsidR="000409CB" w:rsidRPr="000409CB">
        <w:rPr>
          <w:lang w:val="es-AR"/>
        </w:rPr>
        <w:t xml:space="preserve"> Ana Elena </w:t>
      </w:r>
      <w:r w:rsidRPr="000409CB">
        <w:rPr>
          <w:rStyle w:val="Refdenotaalpie"/>
          <w:lang w:val="es-AR"/>
        </w:rPr>
        <w:footnoteReference w:id="2"/>
      </w:r>
      <w:r w:rsidRPr="000409CB">
        <w:rPr>
          <w:lang w:val="es-AR"/>
        </w:rPr>
        <w:t xml:space="preserve">, </w:t>
      </w:r>
      <w:r w:rsidR="000409CB" w:rsidRPr="000409CB">
        <w:rPr>
          <w:lang w:val="es-AR"/>
        </w:rPr>
        <w:t>Orellana Clara Yanina</w:t>
      </w:r>
      <w:r w:rsidRPr="000409CB">
        <w:rPr>
          <w:rStyle w:val="Refdenotaalpie"/>
          <w:lang w:val="es-AR"/>
        </w:rPr>
        <w:footnoteReference w:id="3"/>
      </w:r>
      <w:r>
        <w:rPr>
          <w:lang w:val="es-AR"/>
        </w:rPr>
        <w:t xml:space="preserve"> </w:t>
      </w:r>
    </w:p>
    <w:p w:rsidR="006132F6" w:rsidRPr="00414A02" w:rsidRDefault="006132F6">
      <w:pPr>
        <w:spacing w:line="360" w:lineRule="auto"/>
        <w:jc w:val="center"/>
        <w:rPr>
          <w:lang w:val="es-AR"/>
        </w:rPr>
      </w:pPr>
      <w:bookmarkStart w:id="0" w:name="_GoBack"/>
      <w:bookmarkEnd w:id="0"/>
    </w:p>
    <w:p w:rsidR="00C749E0" w:rsidRPr="00414A02" w:rsidRDefault="00F73FDA" w:rsidP="00414A02">
      <w:pPr>
        <w:spacing w:line="360" w:lineRule="auto"/>
        <w:rPr>
          <w:lang w:val="es-AR"/>
        </w:rPr>
      </w:pPr>
      <w:r>
        <w:rPr>
          <w:rFonts w:ascii="Arial" w:eastAsia="Arial" w:hAnsi="Arial"/>
          <w:lang w:val="es-AR"/>
        </w:rPr>
        <w:t xml:space="preserve">Palabras clave: evaluación educativa; trayectorias académicas; matemática universitaria; desempeño estudiantil; </w:t>
      </w:r>
      <w:r w:rsidR="00CE1D67">
        <w:rPr>
          <w:rFonts w:ascii="Arial" w:eastAsia="Arial" w:hAnsi="Arial"/>
          <w:lang w:val="es-AR"/>
        </w:rPr>
        <w:t>ingeniería</w:t>
      </w:r>
      <w:r>
        <w:rPr>
          <w:rFonts w:ascii="Arial" w:eastAsia="Arial" w:hAnsi="Arial"/>
          <w:lang w:val="es-AR"/>
        </w:rPr>
        <w:t>.</w:t>
      </w:r>
    </w:p>
    <w:p w:rsidR="00C749E0" w:rsidRDefault="00F73FDA">
      <w:pPr>
        <w:spacing w:line="360" w:lineRule="auto"/>
      </w:pPr>
      <w:r>
        <w:rPr>
          <w:rFonts w:ascii="Arial" w:eastAsia="Arial" w:hAnsi="Arial"/>
        </w:rPr>
        <w:t xml:space="preserve">Keywords: educational evaluation; academic trajectories; university mathematics; student performance; </w:t>
      </w:r>
      <w:r w:rsidR="00CE1D67">
        <w:rPr>
          <w:rFonts w:ascii="Arial" w:eastAsia="Arial" w:hAnsi="Arial"/>
        </w:rPr>
        <w:t>engineering</w:t>
      </w:r>
      <w:r w:rsidR="006578AA" w:rsidRPr="006578AA">
        <w:rPr>
          <w:rFonts w:ascii="Arial" w:eastAsia="Arial" w:hAnsi="Arial"/>
        </w:rPr>
        <w:t>.</w:t>
      </w:r>
    </w:p>
    <w:p w:rsidR="001F245B" w:rsidRPr="00C1328B" w:rsidRDefault="00F73FDA">
      <w:pPr>
        <w:spacing w:line="360" w:lineRule="auto"/>
        <w:rPr>
          <w:rFonts w:ascii="Arial" w:eastAsia="Arial" w:hAnsi="Arial"/>
          <w:lang w:val="es-AR"/>
        </w:rPr>
      </w:pPr>
      <w:proofErr w:type="spellStart"/>
      <w:r w:rsidRPr="00693CBC">
        <w:rPr>
          <w:rFonts w:ascii="Arial" w:eastAsia="Arial" w:hAnsi="Arial"/>
          <w:lang w:val="es-AR"/>
        </w:rPr>
        <w:t>Palavras</w:t>
      </w:r>
      <w:proofErr w:type="spellEnd"/>
      <w:r w:rsidRPr="00693CBC">
        <w:rPr>
          <w:rFonts w:ascii="Arial" w:eastAsia="Arial" w:hAnsi="Arial"/>
          <w:lang w:val="es-AR"/>
        </w:rPr>
        <w:t xml:space="preserve">-chave: </w:t>
      </w:r>
      <w:proofErr w:type="spellStart"/>
      <w:r w:rsidRPr="00693CBC">
        <w:rPr>
          <w:rFonts w:ascii="Arial" w:eastAsia="Arial" w:hAnsi="Arial"/>
          <w:lang w:val="es-AR"/>
        </w:rPr>
        <w:t>avaliação</w:t>
      </w:r>
      <w:proofErr w:type="spellEnd"/>
      <w:r w:rsidRPr="00693CBC">
        <w:rPr>
          <w:rFonts w:ascii="Arial" w:eastAsia="Arial" w:hAnsi="Arial"/>
          <w:lang w:val="es-AR"/>
        </w:rPr>
        <w:t xml:space="preserve"> educacional; </w:t>
      </w:r>
      <w:proofErr w:type="spellStart"/>
      <w:r w:rsidRPr="00693CBC">
        <w:rPr>
          <w:rFonts w:ascii="Arial" w:eastAsia="Arial" w:hAnsi="Arial"/>
          <w:lang w:val="es-AR"/>
        </w:rPr>
        <w:t>trajetórias</w:t>
      </w:r>
      <w:proofErr w:type="spellEnd"/>
      <w:r w:rsidRPr="00693CBC">
        <w:rPr>
          <w:rFonts w:ascii="Arial" w:eastAsia="Arial" w:hAnsi="Arial"/>
          <w:lang w:val="es-AR"/>
        </w:rPr>
        <w:t xml:space="preserve"> </w:t>
      </w:r>
      <w:proofErr w:type="spellStart"/>
      <w:r w:rsidRPr="00693CBC">
        <w:rPr>
          <w:rFonts w:ascii="Arial" w:eastAsia="Arial" w:hAnsi="Arial"/>
          <w:lang w:val="es-AR"/>
        </w:rPr>
        <w:t>acadêmicas</w:t>
      </w:r>
      <w:proofErr w:type="spellEnd"/>
      <w:r w:rsidRPr="00693CBC">
        <w:rPr>
          <w:rFonts w:ascii="Arial" w:eastAsia="Arial" w:hAnsi="Arial"/>
          <w:lang w:val="es-AR"/>
        </w:rPr>
        <w:t xml:space="preserve">; matemática </w:t>
      </w:r>
      <w:proofErr w:type="spellStart"/>
      <w:r w:rsidRPr="00693CBC">
        <w:rPr>
          <w:rFonts w:ascii="Arial" w:eastAsia="Arial" w:hAnsi="Arial"/>
          <w:lang w:val="es-AR"/>
        </w:rPr>
        <w:t>universitária</w:t>
      </w:r>
      <w:proofErr w:type="spellEnd"/>
      <w:r w:rsidRPr="00693CBC">
        <w:rPr>
          <w:rFonts w:ascii="Arial" w:eastAsia="Arial" w:hAnsi="Arial"/>
          <w:lang w:val="es-AR"/>
        </w:rPr>
        <w:t xml:space="preserve">; </w:t>
      </w:r>
      <w:proofErr w:type="spellStart"/>
      <w:r w:rsidRPr="00693CBC">
        <w:rPr>
          <w:rFonts w:ascii="Arial" w:eastAsia="Arial" w:hAnsi="Arial"/>
          <w:lang w:val="es-AR"/>
        </w:rPr>
        <w:t>desempenho</w:t>
      </w:r>
      <w:proofErr w:type="spellEnd"/>
      <w:r w:rsidRPr="00693CBC">
        <w:rPr>
          <w:rFonts w:ascii="Arial" w:eastAsia="Arial" w:hAnsi="Arial"/>
          <w:lang w:val="es-AR"/>
        </w:rPr>
        <w:t xml:space="preserve"> </w:t>
      </w:r>
      <w:proofErr w:type="spellStart"/>
      <w:r w:rsidRPr="00693CBC">
        <w:rPr>
          <w:rFonts w:ascii="Arial" w:eastAsia="Arial" w:hAnsi="Arial"/>
          <w:lang w:val="es-AR"/>
        </w:rPr>
        <w:t>estudantil</w:t>
      </w:r>
      <w:proofErr w:type="spellEnd"/>
      <w:r w:rsidRPr="00693CBC">
        <w:rPr>
          <w:rFonts w:ascii="Arial" w:eastAsia="Arial" w:hAnsi="Arial"/>
          <w:lang w:val="es-AR"/>
        </w:rPr>
        <w:t xml:space="preserve">; </w:t>
      </w:r>
      <w:proofErr w:type="spellStart"/>
      <w:r w:rsidR="00CE1D67">
        <w:rPr>
          <w:rFonts w:ascii="Arial" w:eastAsia="Arial" w:hAnsi="Arial"/>
          <w:lang w:val="es-AR"/>
        </w:rPr>
        <w:t>engenharia</w:t>
      </w:r>
      <w:proofErr w:type="spellEnd"/>
      <w:r w:rsidR="006578AA" w:rsidRPr="006578AA">
        <w:rPr>
          <w:rFonts w:ascii="Arial" w:eastAsia="Arial" w:hAnsi="Arial"/>
          <w:lang w:val="es-AR"/>
        </w:rPr>
        <w:t>.</w:t>
      </w:r>
    </w:p>
    <w:p w:rsidR="00C749E0" w:rsidRPr="00414A02" w:rsidRDefault="002532FC">
      <w:pPr>
        <w:spacing w:line="360" w:lineRule="auto"/>
        <w:rPr>
          <w:lang w:val="es-AR"/>
        </w:rPr>
      </w:pPr>
      <w:r>
        <w:rPr>
          <w:rFonts w:ascii="Arial" w:eastAsia="Arial" w:hAnsi="Arial"/>
          <w:b/>
          <w:sz w:val="24"/>
          <w:lang w:val="es-AR"/>
        </w:rPr>
        <w:t>RESUMEN EXTENDIDO</w:t>
      </w:r>
    </w:p>
    <w:p w:rsidR="00414A02" w:rsidRDefault="00F73FDA" w:rsidP="00414A02">
      <w:pPr>
        <w:spacing w:line="360" w:lineRule="auto"/>
        <w:jc w:val="both"/>
        <w:rPr>
          <w:rFonts w:ascii="Arial" w:eastAsia="Arial" w:hAnsi="Arial"/>
          <w:sz w:val="24"/>
          <w:lang w:val="es-AR"/>
        </w:rPr>
      </w:pPr>
      <w:r>
        <w:rPr>
          <w:rFonts w:ascii="Arial" w:eastAsia="Arial" w:hAnsi="Arial"/>
          <w:b/>
          <w:sz w:val="24"/>
          <w:lang w:val="es-AR"/>
        </w:rPr>
        <w:t>Introducción</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 xml:space="preserve">El análisis del desempeño académico constituye una herramienta fundamental para la mejora continua de los procesos de enseñanza y aprendizaje en el nivel universitario. En </w:t>
      </w:r>
      <w:r w:rsidRPr="00CE1D67">
        <w:rPr>
          <w:rFonts w:ascii="Arial" w:eastAsia="Arial" w:hAnsi="Arial"/>
          <w:sz w:val="24"/>
          <w:lang w:val="es-AR"/>
        </w:rPr>
        <w:lastRenderedPageBreak/>
        <w:t>el contexto de las carreras de ingeniería, las asignaturas del ciclo básico —y en particular las de matemática— representan un nudo crítico en las trayectorias académicas estudiantiles, con altas tasas de recursividad y abandono.</w:t>
      </w:r>
    </w:p>
    <w:p w:rsidR="00F26B0E" w:rsidRPr="00CE1D67" w:rsidRDefault="00CE1D67">
      <w:pPr>
        <w:spacing w:line="360" w:lineRule="auto"/>
        <w:jc w:val="both"/>
        <w:rPr>
          <w:rFonts w:ascii="Arial" w:eastAsia="Arial" w:hAnsi="Arial"/>
          <w:sz w:val="24"/>
          <w:lang w:val="es-AR"/>
        </w:rPr>
      </w:pPr>
      <w:r w:rsidRPr="00CE1D67">
        <w:rPr>
          <w:rFonts w:ascii="Arial" w:eastAsia="Arial" w:hAnsi="Arial"/>
          <w:sz w:val="24"/>
          <w:lang w:val="es-AR"/>
        </w:rPr>
        <w:t>El presente trabajo sistematiza y analiza el desempeño académico de los estudiantes de Álgebra Lineal y Geometría Analítica de la carrera de Ingeniería Industrial de la Universidad Nacional del Chaco Austral (UNCAUS) durante el ciclo lectivo 2024. El objetivo es identificar patrones de trayectoria, obstáculos y fortalezas institucionales para orientar decisiones pedagógicas e institucionales vinculadas con la evaluación educativa.</w:t>
      </w:r>
    </w:p>
    <w:p w:rsidR="00F26B0E" w:rsidRPr="00693CBC" w:rsidRDefault="00F73FDA">
      <w:pPr>
        <w:spacing w:line="360" w:lineRule="auto"/>
        <w:jc w:val="both"/>
        <w:rPr>
          <w:lang w:val="es-AR"/>
        </w:rPr>
      </w:pPr>
      <w:r>
        <w:rPr>
          <w:rFonts w:ascii="Arial" w:eastAsia="Arial" w:hAnsi="Arial"/>
          <w:b/>
          <w:sz w:val="24"/>
          <w:lang w:val="es-AR"/>
        </w:rPr>
        <w:t>Marco teórico</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 xml:space="preserve">El análisis de trayectorias educativas en el nivel superior constituye un campo consolidado en la investigación educativa latinoamericana. En este marco, las </w:t>
      </w:r>
      <w:r w:rsidRPr="00CE1D67">
        <w:rPr>
          <w:rFonts w:ascii="Arial" w:eastAsia="Arial" w:hAnsi="Arial"/>
          <w:bCs/>
          <w:sz w:val="24"/>
          <w:lang w:val="es-AR"/>
        </w:rPr>
        <w:t>trayectorias académicas</w:t>
      </w:r>
      <w:r w:rsidRPr="00CE1D67">
        <w:rPr>
          <w:rFonts w:ascii="Arial" w:eastAsia="Arial" w:hAnsi="Arial"/>
          <w:sz w:val="24"/>
          <w:lang w:val="es-AR"/>
        </w:rPr>
        <w:t xml:space="preserve"> pueden comprenderse como un proceso complejo que articula condiciones institucionales, capitales previos, estrategias estudiantiles y marcos normativos de evaluación (</w:t>
      </w:r>
      <w:proofErr w:type="spellStart"/>
      <w:r w:rsidRPr="00CE1D67">
        <w:rPr>
          <w:rFonts w:ascii="Arial" w:eastAsia="Arial" w:hAnsi="Arial"/>
          <w:sz w:val="24"/>
          <w:lang w:val="es-AR"/>
        </w:rPr>
        <w:t>Terigi</w:t>
      </w:r>
      <w:proofErr w:type="spellEnd"/>
      <w:r w:rsidRPr="00CE1D67">
        <w:rPr>
          <w:rFonts w:ascii="Arial" w:eastAsia="Arial" w:hAnsi="Arial"/>
          <w:sz w:val="24"/>
          <w:lang w:val="es-AR"/>
        </w:rPr>
        <w:t>, 2007). Desde esta perspectiva, el recorrido del estudiantado no se reduce a resultados aislados, sino que se configura a partir de la interacción sostenida entre prácticas de enseñanza, dispositivos evaluativos y posibilidades reales de acreditación.</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 xml:space="preserve">En relación con la </w:t>
      </w:r>
      <w:r w:rsidRPr="00CE1D67">
        <w:rPr>
          <w:rFonts w:ascii="Arial" w:eastAsia="Arial" w:hAnsi="Arial"/>
          <w:bCs/>
          <w:sz w:val="24"/>
          <w:lang w:val="es-AR"/>
        </w:rPr>
        <w:t>evaluación educativa</w:t>
      </w:r>
      <w:r w:rsidRPr="00CE1D67">
        <w:rPr>
          <w:rFonts w:ascii="Arial" w:eastAsia="Arial" w:hAnsi="Arial"/>
          <w:sz w:val="24"/>
          <w:lang w:val="es-AR"/>
        </w:rPr>
        <w:t xml:space="preserve">, los trabajos sobre didáctica y evaluación en la universidad señalan que la evaluación no opera como un hecho aislado, sino como un componente sistémico que incide en la regulación del aprendizaje, la acreditación y, en consecuencia, en la configuración de las trayectorias (Camilloni et al., 1998). En particular, la evaluación suele presentar una tensión entre </w:t>
      </w:r>
      <w:r w:rsidRPr="00CE1D67">
        <w:rPr>
          <w:rFonts w:ascii="Arial" w:eastAsia="Arial" w:hAnsi="Arial"/>
          <w:bCs/>
          <w:sz w:val="24"/>
          <w:lang w:val="es-AR"/>
        </w:rPr>
        <w:t>evaluación sumativa</w:t>
      </w:r>
      <w:r w:rsidRPr="00CE1D67">
        <w:rPr>
          <w:rFonts w:ascii="Arial" w:eastAsia="Arial" w:hAnsi="Arial"/>
          <w:sz w:val="24"/>
          <w:lang w:val="es-AR"/>
        </w:rPr>
        <w:t xml:space="preserve"> (orientada a acreditar) y </w:t>
      </w:r>
      <w:r w:rsidRPr="00CE1D67">
        <w:rPr>
          <w:rFonts w:ascii="Arial" w:eastAsia="Arial" w:hAnsi="Arial"/>
          <w:bCs/>
          <w:sz w:val="24"/>
          <w:lang w:val="es-AR"/>
        </w:rPr>
        <w:t>evaluación formativa</w:t>
      </w:r>
      <w:r w:rsidRPr="00CE1D67">
        <w:rPr>
          <w:rFonts w:ascii="Arial" w:eastAsia="Arial" w:hAnsi="Arial"/>
          <w:sz w:val="24"/>
          <w:lang w:val="es-AR"/>
        </w:rPr>
        <w:t xml:space="preserve"> (orientada a promover aprendizajes durante el proceso) (Álvarez Méndez, 2001).</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lastRenderedPageBreak/>
        <w:t xml:space="preserve">En asignaturas de matemática universitaria, los obstáculos reportados por investigaciones didácticas se vinculan no solo con el conocimiento previo, sino también con la </w:t>
      </w:r>
      <w:r w:rsidRPr="00CE1D67">
        <w:rPr>
          <w:rFonts w:ascii="Arial" w:eastAsia="Arial" w:hAnsi="Arial"/>
          <w:bCs/>
          <w:sz w:val="24"/>
          <w:lang w:val="es-AR"/>
        </w:rPr>
        <w:t>formalización teórica</w:t>
      </w:r>
      <w:r w:rsidRPr="00CE1D67">
        <w:rPr>
          <w:rFonts w:ascii="Arial" w:eastAsia="Arial" w:hAnsi="Arial"/>
          <w:sz w:val="24"/>
          <w:lang w:val="es-AR"/>
        </w:rPr>
        <w:t xml:space="preserve">, la motivación y las condiciones en que se valora el desempeño (Artigue, 2011). En este trabajo, la noción de </w:t>
      </w:r>
      <w:r w:rsidRPr="00CE1D67">
        <w:rPr>
          <w:rFonts w:ascii="Arial" w:eastAsia="Arial" w:hAnsi="Arial"/>
          <w:iCs/>
          <w:sz w:val="24"/>
          <w:lang w:val="es-AR"/>
        </w:rPr>
        <w:t>formalización conceptual</w:t>
      </w:r>
      <w:r w:rsidRPr="00CE1D67">
        <w:rPr>
          <w:rFonts w:ascii="Arial" w:eastAsia="Arial" w:hAnsi="Arial"/>
          <w:sz w:val="24"/>
          <w:lang w:val="es-AR"/>
        </w:rPr>
        <w:t xml:space="preserve"> se operacionaliza a través del desempeño en instancias evaluativas teóricas (en particular, el segundo parcial), considerando que estas instancias permiten observar en qué medida el estudiantado consolida y organiza el pensamiento matemático más allá de procedimientos puntuales.</w:t>
      </w:r>
    </w:p>
    <w:p w:rsidR="00F26B0E" w:rsidRPr="002532FC" w:rsidRDefault="00CE1D67">
      <w:pPr>
        <w:spacing w:line="360" w:lineRule="auto"/>
        <w:jc w:val="both"/>
        <w:rPr>
          <w:rFonts w:ascii="Arial" w:eastAsia="Arial" w:hAnsi="Arial"/>
          <w:sz w:val="24"/>
          <w:lang w:val="es-AR"/>
        </w:rPr>
      </w:pPr>
      <w:r w:rsidRPr="00CE1D67">
        <w:rPr>
          <w:rFonts w:ascii="Arial" w:eastAsia="Arial" w:hAnsi="Arial"/>
          <w:sz w:val="24"/>
          <w:lang w:val="es-AR"/>
        </w:rPr>
        <w:t xml:space="preserve">A partir de lo anterior, el análisis empírico se organiza en torno a indicadores que representan momentos clave de la trayectoria (cursada, regularidad, aprobación de evaluaciones parciales y examen final), entendidos como </w:t>
      </w:r>
      <w:r w:rsidRPr="00CE1D67">
        <w:rPr>
          <w:rFonts w:ascii="Arial" w:eastAsia="Arial" w:hAnsi="Arial"/>
          <w:bCs/>
          <w:sz w:val="24"/>
          <w:lang w:val="es-AR"/>
        </w:rPr>
        <w:t>hitos de acreditación</w:t>
      </w:r>
      <w:r w:rsidRPr="00CE1D67">
        <w:rPr>
          <w:rFonts w:ascii="Arial" w:eastAsia="Arial" w:hAnsi="Arial"/>
          <w:sz w:val="24"/>
          <w:lang w:val="es-AR"/>
        </w:rPr>
        <w:t xml:space="preserve"> dentro de un </w:t>
      </w:r>
      <w:r w:rsidRPr="00CE1D67">
        <w:rPr>
          <w:rFonts w:ascii="Arial" w:eastAsia="Arial" w:hAnsi="Arial"/>
          <w:bCs/>
          <w:sz w:val="24"/>
          <w:lang w:val="es-AR"/>
        </w:rPr>
        <w:t>sistema de evaluación</w:t>
      </w:r>
      <w:r w:rsidRPr="00CE1D67">
        <w:rPr>
          <w:rFonts w:ascii="Arial" w:eastAsia="Arial" w:hAnsi="Arial"/>
          <w:sz w:val="24"/>
          <w:lang w:val="es-AR"/>
        </w:rPr>
        <w:t xml:space="preserve"> coherente y normado. De este modo, el estudio busca aportar evidencia situada sobre cómo inciden los dispositivos evaluativos en la persistencia, el tiempo de logro y la probabilidad de aprobación del estudiantado en matemática universitaria.</w:t>
      </w:r>
    </w:p>
    <w:p w:rsidR="00F26B0E" w:rsidRPr="00693CBC" w:rsidRDefault="00F73FDA">
      <w:pPr>
        <w:spacing w:line="360" w:lineRule="auto"/>
        <w:jc w:val="both"/>
        <w:rPr>
          <w:lang w:val="es-AR"/>
        </w:rPr>
      </w:pPr>
      <w:r>
        <w:rPr>
          <w:rFonts w:ascii="Arial" w:eastAsia="Arial" w:hAnsi="Arial"/>
          <w:b/>
          <w:sz w:val="24"/>
          <w:lang w:val="es-AR"/>
        </w:rPr>
        <w:t>Metodología</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 xml:space="preserve">El trabajo adopta un enfoque </w:t>
      </w:r>
      <w:r w:rsidRPr="00CE1D67">
        <w:rPr>
          <w:rFonts w:ascii="Arial" w:eastAsia="Arial" w:hAnsi="Arial"/>
          <w:bCs/>
          <w:sz w:val="24"/>
          <w:lang w:val="es-AR"/>
        </w:rPr>
        <w:t>cuantitativo descriptivo-analítico</w:t>
      </w:r>
      <w:r w:rsidRPr="00CE1D67">
        <w:rPr>
          <w:rFonts w:ascii="Arial" w:eastAsia="Arial" w:hAnsi="Arial"/>
          <w:sz w:val="24"/>
          <w:lang w:val="es-AR"/>
        </w:rPr>
        <w:t xml:space="preserve">. El conjunto de datos analizados comprende la totalidad de los </w:t>
      </w:r>
      <w:r w:rsidRPr="00CE1D67">
        <w:rPr>
          <w:rFonts w:ascii="Arial" w:eastAsia="Arial" w:hAnsi="Arial"/>
          <w:bCs/>
          <w:sz w:val="24"/>
          <w:lang w:val="es-AR"/>
        </w:rPr>
        <w:t>53 estudiantes</w:t>
      </w:r>
      <w:r w:rsidRPr="00CE1D67">
        <w:rPr>
          <w:rFonts w:ascii="Arial" w:eastAsia="Arial" w:hAnsi="Arial"/>
          <w:sz w:val="24"/>
          <w:lang w:val="es-AR"/>
        </w:rPr>
        <w:t xml:space="preserve"> inscriptos en la asignatura Álgebra Lineal y Geometría Analítica (Ingeniería Industrial, UNCAUS, cohorte 2024).</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La información fue recolectada por la cátedra con el propósito de efectuar el seguimiento académico, el monitoreo pedagógico y la evaluación institucional del proceso de enseñanza y aprendizaje. El conjunto de datos integra registros completos de la trayectoria académica, estructurados en:</w:t>
      </w:r>
    </w:p>
    <w:p w:rsidR="00CE1D67" w:rsidRPr="00CE1D67" w:rsidRDefault="00CE1D67" w:rsidP="00CE1D67">
      <w:pPr>
        <w:numPr>
          <w:ilvl w:val="0"/>
          <w:numId w:val="10"/>
        </w:numPr>
        <w:spacing w:line="360" w:lineRule="auto"/>
        <w:jc w:val="both"/>
        <w:rPr>
          <w:rFonts w:ascii="Arial" w:eastAsia="Arial" w:hAnsi="Arial"/>
          <w:sz w:val="24"/>
          <w:lang w:val="es-AR"/>
        </w:rPr>
      </w:pPr>
      <w:r w:rsidRPr="00CE1D67">
        <w:rPr>
          <w:rFonts w:ascii="Arial" w:eastAsia="Arial" w:hAnsi="Arial"/>
          <w:bCs/>
          <w:sz w:val="24"/>
          <w:lang w:val="es-AR"/>
        </w:rPr>
        <w:t>Cursada</w:t>
      </w:r>
      <w:r w:rsidRPr="00CE1D67">
        <w:rPr>
          <w:rFonts w:ascii="Arial" w:eastAsia="Arial" w:hAnsi="Arial"/>
          <w:sz w:val="24"/>
          <w:lang w:val="es-AR"/>
        </w:rPr>
        <w:t>, que incluye desempeño en parciales y recuperatorios, condición de regularidad, evaluación teórica y puntaje bonus;</w:t>
      </w:r>
    </w:p>
    <w:p w:rsidR="00CE1D67" w:rsidRPr="00CE1D67" w:rsidRDefault="00CE1D67" w:rsidP="00CE1D67">
      <w:pPr>
        <w:numPr>
          <w:ilvl w:val="0"/>
          <w:numId w:val="10"/>
        </w:numPr>
        <w:spacing w:line="360" w:lineRule="auto"/>
        <w:jc w:val="both"/>
        <w:rPr>
          <w:rFonts w:ascii="Arial" w:eastAsia="Arial" w:hAnsi="Arial"/>
          <w:sz w:val="24"/>
          <w:lang w:val="es-AR"/>
        </w:rPr>
      </w:pPr>
      <w:r w:rsidRPr="00CE1D67">
        <w:rPr>
          <w:rFonts w:ascii="Arial" w:eastAsia="Arial" w:hAnsi="Arial"/>
          <w:bCs/>
          <w:sz w:val="24"/>
          <w:lang w:val="es-AR"/>
        </w:rPr>
        <w:lastRenderedPageBreak/>
        <w:t>Intentos de examen final</w:t>
      </w:r>
      <w:r w:rsidRPr="00CE1D67">
        <w:rPr>
          <w:rFonts w:ascii="Arial" w:eastAsia="Arial" w:hAnsi="Arial"/>
          <w:sz w:val="24"/>
          <w:lang w:val="es-AR"/>
        </w:rPr>
        <w:t>, con el registro pormenorizado de cada presentación;</w:t>
      </w:r>
    </w:p>
    <w:p w:rsidR="00CE1D67" w:rsidRPr="00CE1D67" w:rsidRDefault="00CE1D67" w:rsidP="00CE1D67">
      <w:pPr>
        <w:numPr>
          <w:ilvl w:val="0"/>
          <w:numId w:val="10"/>
        </w:numPr>
        <w:spacing w:line="360" w:lineRule="auto"/>
        <w:jc w:val="both"/>
        <w:rPr>
          <w:rFonts w:ascii="Arial" w:eastAsia="Arial" w:hAnsi="Arial"/>
          <w:sz w:val="24"/>
          <w:lang w:val="es-AR"/>
        </w:rPr>
      </w:pPr>
      <w:r w:rsidRPr="00CE1D67">
        <w:rPr>
          <w:rFonts w:ascii="Arial" w:eastAsia="Arial" w:hAnsi="Arial"/>
          <w:bCs/>
          <w:sz w:val="24"/>
          <w:lang w:val="es-AR"/>
        </w:rPr>
        <w:t>Resumen de final</w:t>
      </w:r>
      <w:r w:rsidRPr="00CE1D67">
        <w:rPr>
          <w:rFonts w:ascii="Arial" w:eastAsia="Arial" w:hAnsi="Arial"/>
          <w:sz w:val="24"/>
          <w:lang w:val="es-AR"/>
        </w:rPr>
        <w:t>, con la síntesis consolidada del recorrido de cada estudiante;</w:t>
      </w:r>
    </w:p>
    <w:p w:rsidR="00CE1D67" w:rsidRPr="00CE1D67" w:rsidRDefault="00CE1D67" w:rsidP="00CE1D67">
      <w:pPr>
        <w:numPr>
          <w:ilvl w:val="0"/>
          <w:numId w:val="10"/>
        </w:numPr>
        <w:spacing w:line="360" w:lineRule="auto"/>
        <w:jc w:val="both"/>
        <w:rPr>
          <w:rFonts w:ascii="Arial" w:eastAsia="Arial" w:hAnsi="Arial"/>
          <w:sz w:val="24"/>
          <w:lang w:val="es-AR"/>
        </w:rPr>
      </w:pPr>
      <w:r w:rsidRPr="00CE1D67">
        <w:rPr>
          <w:rFonts w:ascii="Arial" w:eastAsia="Arial" w:hAnsi="Arial"/>
          <w:bCs/>
          <w:sz w:val="24"/>
          <w:lang w:val="es-AR"/>
        </w:rPr>
        <w:t>Diccionario de variables</w:t>
      </w:r>
      <w:r w:rsidRPr="00CE1D67">
        <w:rPr>
          <w:rFonts w:ascii="Arial" w:eastAsia="Arial" w:hAnsi="Arial"/>
          <w:sz w:val="24"/>
          <w:lang w:val="es-AR"/>
        </w:rPr>
        <w:t>, que define las categorías analizadas.</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 xml:space="preserve">Para el procesamiento, se integraron y depuraron registros provenientes del sistema de seguimiento académico mediante el uso de una </w:t>
      </w:r>
      <w:r w:rsidRPr="00CE1D67">
        <w:rPr>
          <w:rFonts w:ascii="Arial" w:eastAsia="Arial" w:hAnsi="Arial"/>
          <w:bCs/>
          <w:sz w:val="24"/>
          <w:lang w:val="es-AR"/>
        </w:rPr>
        <w:t>clave única de estudiante</w:t>
      </w:r>
      <w:r w:rsidRPr="00CE1D67">
        <w:rPr>
          <w:rFonts w:ascii="Arial" w:eastAsia="Arial" w:hAnsi="Arial"/>
          <w:sz w:val="24"/>
          <w:lang w:val="es-AR"/>
        </w:rPr>
        <w:t>, permitiendo vincular datos de distintas fuentes y reconstruir la trayectoria de cada alumno. Durante la fase de limpieza y control de calidad se identificaron y trataron valores faltantes, ausencias en evaluaciones, duplicación de intentos e inconsistencias entre hojas de datos. En los casos de información incompleta, se interpretó la ausencia como “no presentado” o “instancia no rendida”, según el criterio de registro institucional.</w:t>
      </w:r>
    </w:p>
    <w:p w:rsidR="00CE1D67" w:rsidRPr="00CE1D67" w:rsidRDefault="00CE1D67" w:rsidP="00CE1D67">
      <w:pPr>
        <w:spacing w:line="360" w:lineRule="auto"/>
        <w:jc w:val="both"/>
        <w:rPr>
          <w:rFonts w:ascii="Arial" w:eastAsia="Arial" w:hAnsi="Arial"/>
          <w:sz w:val="24"/>
          <w:lang w:val="es-AR"/>
        </w:rPr>
      </w:pPr>
      <w:r w:rsidRPr="00CE1D67">
        <w:rPr>
          <w:rFonts w:ascii="Arial" w:eastAsia="Arial" w:hAnsi="Arial"/>
          <w:sz w:val="24"/>
          <w:lang w:val="es-AR"/>
        </w:rPr>
        <w:t xml:space="preserve">Con base en lo anterior, se construyeron </w:t>
      </w:r>
      <w:r w:rsidRPr="00CE1D67">
        <w:rPr>
          <w:rFonts w:ascii="Arial" w:eastAsia="Arial" w:hAnsi="Arial"/>
          <w:bCs/>
          <w:sz w:val="24"/>
          <w:lang w:val="es-AR"/>
        </w:rPr>
        <w:t>indicadores clave</w:t>
      </w:r>
      <w:r w:rsidRPr="00CE1D67">
        <w:rPr>
          <w:rFonts w:ascii="Arial" w:eastAsia="Arial" w:hAnsi="Arial"/>
          <w:sz w:val="24"/>
          <w:lang w:val="es-AR"/>
        </w:rPr>
        <w:t>: regularidad, aprobación del examen teórico del segundo parcial, obtención de puntaje bonus, cantidad de intentos de examen final, aprobación final y aprobación en primera instancia. El análisis incluyó estadística descriptiva y visualización mediante gráficos de distribución y embudo académico</w:t>
      </w:r>
    </w:p>
    <w:p w:rsidR="00F26B0E" w:rsidRPr="00693CBC" w:rsidRDefault="00CE1D67" w:rsidP="00CE1D67">
      <w:pPr>
        <w:spacing w:line="360" w:lineRule="auto"/>
        <w:jc w:val="both"/>
        <w:rPr>
          <w:lang w:val="es-AR"/>
        </w:rPr>
      </w:pPr>
      <w:r w:rsidRPr="00CE1D67">
        <w:rPr>
          <w:rFonts w:ascii="Arial" w:eastAsia="Arial" w:hAnsi="Arial"/>
          <w:b/>
          <w:sz w:val="24"/>
          <w:lang w:val="es-AR"/>
        </w:rPr>
        <w:t xml:space="preserve"> </w:t>
      </w:r>
      <w:r w:rsidR="00F73FDA">
        <w:rPr>
          <w:rFonts w:ascii="Arial" w:eastAsia="Arial" w:hAnsi="Arial"/>
          <w:b/>
          <w:sz w:val="24"/>
          <w:lang w:val="es-AR"/>
        </w:rPr>
        <w:t>Resultados</w:t>
      </w:r>
    </w:p>
    <w:p w:rsidR="00EA5B17" w:rsidRPr="00EA5B17" w:rsidRDefault="00EA5B17" w:rsidP="00EA5B17">
      <w:pPr>
        <w:spacing w:line="360" w:lineRule="auto"/>
        <w:jc w:val="both"/>
        <w:rPr>
          <w:rFonts w:ascii="Arial" w:eastAsia="Arial" w:hAnsi="Arial"/>
          <w:sz w:val="24"/>
          <w:lang w:val="es-AR"/>
        </w:rPr>
      </w:pPr>
      <w:r w:rsidRPr="00EA5B17">
        <w:rPr>
          <w:rFonts w:ascii="Arial" w:eastAsia="Arial" w:hAnsi="Arial"/>
          <w:sz w:val="24"/>
          <w:lang w:val="es-AR"/>
        </w:rPr>
        <w:t xml:space="preserve">En cuanto a la regularidad, el </w:t>
      </w:r>
      <w:r w:rsidRPr="00EA5B17">
        <w:rPr>
          <w:rFonts w:ascii="Arial" w:eastAsia="Arial" w:hAnsi="Arial"/>
          <w:bCs/>
          <w:sz w:val="24"/>
          <w:lang w:val="es-AR"/>
        </w:rPr>
        <w:t>66%</w:t>
      </w:r>
      <w:r w:rsidRPr="00EA5B17">
        <w:rPr>
          <w:rFonts w:ascii="Arial" w:eastAsia="Arial" w:hAnsi="Arial"/>
          <w:sz w:val="24"/>
          <w:lang w:val="es-AR"/>
        </w:rPr>
        <w:t xml:space="preserve"> de los estudiantes (</w:t>
      </w:r>
      <w:r w:rsidRPr="00EA5B17">
        <w:rPr>
          <w:rFonts w:ascii="Arial" w:eastAsia="Arial" w:hAnsi="Arial"/>
          <w:bCs/>
          <w:sz w:val="24"/>
          <w:lang w:val="es-AR"/>
        </w:rPr>
        <w:t>35 de 53</w:t>
      </w:r>
      <w:r w:rsidRPr="00EA5B17">
        <w:rPr>
          <w:rFonts w:ascii="Arial" w:eastAsia="Arial" w:hAnsi="Arial"/>
          <w:sz w:val="24"/>
          <w:lang w:val="es-AR"/>
        </w:rPr>
        <w:t>) alcanzan esta condición, lo que constituye un índice moderado y consistente con el comportamiento habitual en asignaturas del ciclo básico de carreras de ingeniería. Este resultado sugiere que la cursada, considerada en términos de acceso y continuidad evaluativa, no representa el principal obstáculo en las trayectorias de la cohorte.</w:t>
      </w:r>
    </w:p>
    <w:p w:rsidR="00EA5B17" w:rsidRPr="00EA5B17" w:rsidRDefault="00EA5B17" w:rsidP="00EA5B17">
      <w:pPr>
        <w:spacing w:line="360" w:lineRule="auto"/>
        <w:jc w:val="both"/>
        <w:rPr>
          <w:rFonts w:ascii="Arial" w:eastAsia="Arial" w:hAnsi="Arial"/>
          <w:sz w:val="24"/>
          <w:lang w:val="es-AR"/>
        </w:rPr>
      </w:pPr>
      <w:r w:rsidRPr="00EA5B17">
        <w:rPr>
          <w:rFonts w:ascii="Arial" w:eastAsia="Arial" w:hAnsi="Arial"/>
          <w:sz w:val="24"/>
          <w:lang w:val="es-AR"/>
        </w:rPr>
        <w:t xml:space="preserve">El punto crítico del proceso se ubica en la instancia teórica del segundo parcial: de los </w:t>
      </w:r>
      <w:r w:rsidRPr="00EA5B17">
        <w:rPr>
          <w:rFonts w:ascii="Arial" w:eastAsia="Arial" w:hAnsi="Arial"/>
          <w:bCs/>
          <w:sz w:val="24"/>
          <w:lang w:val="es-AR"/>
        </w:rPr>
        <w:t>25</w:t>
      </w:r>
      <w:r w:rsidRPr="00EA5B17">
        <w:rPr>
          <w:rFonts w:ascii="Arial" w:eastAsia="Arial" w:hAnsi="Arial"/>
          <w:sz w:val="24"/>
          <w:lang w:val="es-AR"/>
        </w:rPr>
        <w:t xml:space="preserve"> alumnos habilitados, </w:t>
      </w:r>
      <w:r w:rsidRPr="00EA5B17">
        <w:rPr>
          <w:rFonts w:ascii="Arial" w:eastAsia="Arial" w:hAnsi="Arial"/>
          <w:bCs/>
          <w:sz w:val="24"/>
          <w:lang w:val="es-AR"/>
        </w:rPr>
        <w:t>únicamente 2</w:t>
      </w:r>
      <w:r w:rsidRPr="00EA5B17">
        <w:rPr>
          <w:rFonts w:ascii="Arial" w:eastAsia="Arial" w:hAnsi="Arial"/>
          <w:sz w:val="24"/>
          <w:lang w:val="es-AR"/>
        </w:rPr>
        <w:t xml:space="preserve"> lograron aprobarla, representando una tasa del </w:t>
      </w:r>
      <w:r w:rsidRPr="00EA5B17">
        <w:rPr>
          <w:rFonts w:ascii="Arial" w:eastAsia="Arial" w:hAnsi="Arial"/>
          <w:bCs/>
          <w:sz w:val="24"/>
          <w:lang w:val="es-AR"/>
        </w:rPr>
        <w:t>8%</w:t>
      </w:r>
      <w:r w:rsidRPr="00EA5B17">
        <w:rPr>
          <w:rFonts w:ascii="Arial" w:eastAsia="Arial" w:hAnsi="Arial"/>
          <w:sz w:val="24"/>
          <w:lang w:val="es-AR"/>
        </w:rPr>
        <w:t xml:space="preserve">. Este dato evidencia dificultades relevantes en la consolidación conceptual y en la </w:t>
      </w:r>
      <w:r w:rsidRPr="00EA5B17">
        <w:rPr>
          <w:rFonts w:ascii="Arial" w:eastAsia="Arial" w:hAnsi="Arial"/>
          <w:sz w:val="24"/>
          <w:lang w:val="es-AR"/>
        </w:rPr>
        <w:lastRenderedPageBreak/>
        <w:t>formalización matemática, en línea con lo reportado por investigaciones sobre la matemática universitaria, donde la barrera principal no necesariamente se asocia a procedimientos, sino a la organización teórica del conocimiento (Artigue, 2011).</w:t>
      </w:r>
    </w:p>
    <w:p w:rsidR="00EA5B17" w:rsidRPr="00EA5B17" w:rsidRDefault="00EA5B17" w:rsidP="00EA5B17">
      <w:pPr>
        <w:spacing w:line="360" w:lineRule="auto"/>
        <w:jc w:val="both"/>
        <w:rPr>
          <w:rFonts w:ascii="Arial" w:eastAsia="Arial" w:hAnsi="Arial"/>
          <w:sz w:val="24"/>
          <w:lang w:val="es-AR"/>
        </w:rPr>
      </w:pPr>
      <w:r w:rsidRPr="00EA5B17">
        <w:rPr>
          <w:rFonts w:ascii="Arial" w:eastAsia="Arial" w:hAnsi="Arial"/>
          <w:sz w:val="24"/>
          <w:lang w:val="es-AR"/>
        </w:rPr>
        <w:t xml:space="preserve">Respecto al examen final, el </w:t>
      </w:r>
      <w:r w:rsidRPr="00EA5B17">
        <w:rPr>
          <w:rFonts w:ascii="Arial" w:eastAsia="Arial" w:hAnsi="Arial"/>
          <w:bCs/>
          <w:sz w:val="24"/>
          <w:lang w:val="es-AR"/>
        </w:rPr>
        <w:t>71,4%</w:t>
      </w:r>
      <w:r w:rsidRPr="00EA5B17">
        <w:rPr>
          <w:rFonts w:ascii="Arial" w:eastAsia="Arial" w:hAnsi="Arial"/>
          <w:sz w:val="24"/>
          <w:lang w:val="es-AR"/>
        </w:rPr>
        <w:t xml:space="preserve"> de los estudiantes regulares (</w:t>
      </w:r>
      <w:r w:rsidRPr="00EA5B17">
        <w:rPr>
          <w:rFonts w:ascii="Arial" w:eastAsia="Arial" w:hAnsi="Arial"/>
          <w:bCs/>
          <w:sz w:val="24"/>
          <w:lang w:val="es-AR"/>
        </w:rPr>
        <w:t>25 de 35</w:t>
      </w:r>
      <w:r w:rsidRPr="00EA5B17">
        <w:rPr>
          <w:rFonts w:ascii="Arial" w:eastAsia="Arial" w:hAnsi="Arial"/>
          <w:sz w:val="24"/>
          <w:lang w:val="es-AR"/>
        </w:rPr>
        <w:t xml:space="preserve">) se presentó a rendir al menos en una oportunidad, lo que refleja un alto nivel de compromiso. Entre quienes rindieron, </w:t>
      </w:r>
      <w:r w:rsidRPr="00EA5B17">
        <w:rPr>
          <w:rFonts w:ascii="Arial" w:eastAsia="Arial" w:hAnsi="Arial"/>
          <w:bCs/>
          <w:sz w:val="24"/>
          <w:lang w:val="es-AR"/>
        </w:rPr>
        <w:t>12</w:t>
      </w:r>
      <w:r w:rsidRPr="00EA5B17">
        <w:rPr>
          <w:rFonts w:ascii="Arial" w:eastAsia="Arial" w:hAnsi="Arial"/>
          <w:sz w:val="24"/>
          <w:lang w:val="es-AR"/>
        </w:rPr>
        <w:t xml:space="preserve"> lograron aprobar, lo que representa el </w:t>
      </w:r>
      <w:r w:rsidRPr="00EA5B17">
        <w:rPr>
          <w:rFonts w:ascii="Arial" w:eastAsia="Arial" w:hAnsi="Arial"/>
          <w:bCs/>
          <w:sz w:val="24"/>
          <w:lang w:val="es-AR"/>
        </w:rPr>
        <w:t>48%</w:t>
      </w:r>
      <w:r w:rsidRPr="00EA5B17">
        <w:rPr>
          <w:rFonts w:ascii="Arial" w:eastAsia="Arial" w:hAnsi="Arial"/>
          <w:sz w:val="24"/>
          <w:lang w:val="es-AR"/>
        </w:rPr>
        <w:t xml:space="preserve"> del subgrupo que efectivamente se presentó y el </w:t>
      </w:r>
      <w:r w:rsidRPr="00EA5B17">
        <w:rPr>
          <w:rFonts w:ascii="Arial" w:eastAsia="Arial" w:hAnsi="Arial"/>
          <w:bCs/>
          <w:sz w:val="24"/>
          <w:lang w:val="es-AR"/>
        </w:rPr>
        <w:t>34,3%</w:t>
      </w:r>
      <w:r w:rsidRPr="00EA5B17">
        <w:rPr>
          <w:rFonts w:ascii="Arial" w:eastAsia="Arial" w:hAnsi="Arial"/>
          <w:sz w:val="24"/>
          <w:lang w:val="es-AR"/>
        </w:rPr>
        <w:t xml:space="preserve"> del total de regulares. Aun así, solo </w:t>
      </w:r>
      <w:r w:rsidRPr="00EA5B17">
        <w:rPr>
          <w:rFonts w:ascii="Arial" w:eastAsia="Arial" w:hAnsi="Arial"/>
          <w:bCs/>
          <w:sz w:val="24"/>
          <w:lang w:val="es-AR"/>
        </w:rPr>
        <w:t>4</w:t>
      </w:r>
      <w:r w:rsidRPr="00EA5B17">
        <w:rPr>
          <w:rFonts w:ascii="Arial" w:eastAsia="Arial" w:hAnsi="Arial"/>
          <w:sz w:val="24"/>
          <w:lang w:val="es-AR"/>
        </w:rPr>
        <w:t xml:space="preserve"> estudiantes —el </w:t>
      </w:r>
      <w:r w:rsidRPr="00EA5B17">
        <w:rPr>
          <w:rFonts w:ascii="Arial" w:eastAsia="Arial" w:hAnsi="Arial"/>
          <w:bCs/>
          <w:sz w:val="24"/>
          <w:lang w:val="es-AR"/>
        </w:rPr>
        <w:t>33,3%</w:t>
      </w:r>
      <w:r w:rsidRPr="00EA5B17">
        <w:rPr>
          <w:rFonts w:ascii="Arial" w:eastAsia="Arial" w:hAnsi="Arial"/>
          <w:sz w:val="24"/>
          <w:lang w:val="es-AR"/>
        </w:rPr>
        <w:t xml:space="preserve"> de los aprobados— superaron el examen en su primera presentación, indicando que la aprobación se obtiene predominantemente a través de trayectorias de logro prolongadas.</w:t>
      </w:r>
    </w:p>
    <w:p w:rsidR="00F26B0E" w:rsidRPr="00EA5B17" w:rsidRDefault="00EA5B17">
      <w:pPr>
        <w:spacing w:line="360" w:lineRule="auto"/>
        <w:jc w:val="both"/>
        <w:rPr>
          <w:rFonts w:ascii="Arial" w:eastAsia="Arial" w:hAnsi="Arial"/>
          <w:sz w:val="24"/>
          <w:lang w:val="es-AR"/>
        </w:rPr>
      </w:pPr>
      <w:r w:rsidRPr="00EA5B17">
        <w:rPr>
          <w:rFonts w:ascii="Arial" w:eastAsia="Arial" w:hAnsi="Arial"/>
          <w:sz w:val="24"/>
          <w:lang w:val="es-AR"/>
        </w:rPr>
        <w:t xml:space="preserve">Finalmente, el análisis del </w:t>
      </w:r>
      <w:r w:rsidRPr="00EA5B17">
        <w:rPr>
          <w:rFonts w:ascii="Arial" w:eastAsia="Arial" w:hAnsi="Arial"/>
          <w:bCs/>
          <w:sz w:val="24"/>
          <w:lang w:val="es-AR"/>
        </w:rPr>
        <w:t>puntaje bonus</w:t>
      </w:r>
      <w:r w:rsidRPr="00EA5B17">
        <w:rPr>
          <w:rFonts w:ascii="Arial" w:eastAsia="Arial" w:hAnsi="Arial"/>
          <w:sz w:val="24"/>
          <w:lang w:val="es-AR"/>
        </w:rPr>
        <w:t xml:space="preserve"> muestra una asociación positiva con la aprobación final, sugiriendo que el rendimiento sostenido durante la cursada incide favorablemente en los resultados definitivos.</w:t>
      </w:r>
    </w:p>
    <w:p w:rsidR="00F26B0E" w:rsidRPr="00693CBC" w:rsidRDefault="00F73FDA">
      <w:pPr>
        <w:spacing w:line="360" w:lineRule="auto"/>
        <w:jc w:val="both"/>
        <w:rPr>
          <w:lang w:val="es-AR"/>
        </w:rPr>
      </w:pPr>
      <w:r>
        <w:rPr>
          <w:rFonts w:ascii="Arial" w:eastAsia="Arial" w:hAnsi="Arial"/>
          <w:b/>
          <w:sz w:val="24"/>
          <w:lang w:val="es-AR"/>
        </w:rPr>
        <w:t>Discusión y conclusiones</w:t>
      </w:r>
    </w:p>
    <w:p w:rsidR="00EA5B17" w:rsidRPr="00EA5B17" w:rsidRDefault="00EA5B17" w:rsidP="00EA5B17">
      <w:pPr>
        <w:spacing w:line="360" w:lineRule="auto"/>
        <w:jc w:val="both"/>
        <w:rPr>
          <w:rFonts w:ascii="Arial" w:eastAsia="Arial" w:hAnsi="Arial"/>
          <w:sz w:val="24"/>
          <w:lang w:val="es-AR"/>
        </w:rPr>
      </w:pPr>
      <w:r w:rsidRPr="00EA5B17">
        <w:rPr>
          <w:rFonts w:ascii="Arial" w:eastAsia="Arial" w:hAnsi="Arial"/>
          <w:sz w:val="24"/>
          <w:lang w:val="es-AR"/>
        </w:rPr>
        <w:t>El análisis permite concluir que el principal obstáculo en la cohorte 2024 no radica en la regularización ni en la participación en la instancia final, sino en la consolidación conceptual necesaria para aprobar de manera temprana y sólida. Las trayectorias de aprendizaje observadas son mayoritariamente graduales y requieren múltiples intentos para alcanzar la aprobación definitiva.</w:t>
      </w:r>
    </w:p>
    <w:p w:rsidR="00EA5B17" w:rsidRPr="00EA5B17" w:rsidRDefault="00EA5B17" w:rsidP="00EA5B17">
      <w:pPr>
        <w:spacing w:line="360" w:lineRule="auto"/>
        <w:jc w:val="both"/>
        <w:rPr>
          <w:rFonts w:ascii="Arial" w:eastAsia="Arial" w:hAnsi="Arial"/>
          <w:sz w:val="24"/>
          <w:lang w:val="es-AR"/>
        </w:rPr>
      </w:pPr>
      <w:r w:rsidRPr="00EA5B17">
        <w:rPr>
          <w:rFonts w:ascii="Arial" w:eastAsia="Arial" w:hAnsi="Arial"/>
          <w:sz w:val="24"/>
          <w:lang w:val="es-AR"/>
        </w:rPr>
        <w:t xml:space="preserve">En este sentido, los resultados se alinean con lo señalado por Artigue (2011), respecto a que las dificultades en matemática universitaria se vinculan con la formalización teórica del conocimiento, funcionando como barrera significativa independientemente del manejo procedimental. Asimismo, la persistencia estudiantil observada en la alta tasa de participación en exámenes finales puede leerse como una fortaleza institucional y como </w:t>
      </w:r>
      <w:r w:rsidRPr="00EA5B17">
        <w:rPr>
          <w:rFonts w:ascii="Arial" w:eastAsia="Arial" w:hAnsi="Arial"/>
          <w:sz w:val="24"/>
          <w:lang w:val="es-AR"/>
        </w:rPr>
        <w:lastRenderedPageBreak/>
        <w:t>un indicador de motivación que debería capitalizarse mediante estrategias de acompañamiento específicas.</w:t>
      </w:r>
    </w:p>
    <w:p w:rsidR="00EA5B17" w:rsidRPr="00EA5B17" w:rsidRDefault="00EA5B17" w:rsidP="00EA5B17">
      <w:pPr>
        <w:spacing w:line="360" w:lineRule="auto"/>
        <w:jc w:val="both"/>
        <w:rPr>
          <w:rFonts w:ascii="Arial" w:eastAsia="Arial" w:hAnsi="Arial"/>
          <w:sz w:val="24"/>
        </w:rPr>
      </w:pPr>
      <w:r w:rsidRPr="00EA5B17">
        <w:rPr>
          <w:rFonts w:ascii="Arial" w:eastAsia="Arial" w:hAnsi="Arial"/>
          <w:sz w:val="24"/>
          <w:lang w:val="es-AR"/>
        </w:rPr>
        <w:t xml:space="preserve">Desde una perspectiva institucional, el desafío prioritario no consiste en promover únicamente la regularidad o incentivar la presentación a rendir, sino en garantizar una sólida consolidación conceptual. </w:t>
      </w:r>
      <w:r w:rsidRPr="00EA5B17">
        <w:rPr>
          <w:rFonts w:ascii="Arial" w:eastAsia="Arial" w:hAnsi="Arial"/>
          <w:sz w:val="24"/>
        </w:rPr>
        <w:t>Por lo tanto, se proponen las siguientes recomendaciones:</w:t>
      </w:r>
    </w:p>
    <w:p w:rsidR="00EA5B17" w:rsidRPr="00EA5B17" w:rsidRDefault="00EA5B17" w:rsidP="00EA5B17">
      <w:pPr>
        <w:numPr>
          <w:ilvl w:val="0"/>
          <w:numId w:val="11"/>
        </w:numPr>
        <w:spacing w:line="360" w:lineRule="auto"/>
        <w:jc w:val="both"/>
        <w:rPr>
          <w:rFonts w:ascii="Arial" w:eastAsia="Arial" w:hAnsi="Arial"/>
          <w:sz w:val="24"/>
          <w:lang w:val="es-AR"/>
        </w:rPr>
      </w:pPr>
      <w:r w:rsidRPr="00EA5B17">
        <w:rPr>
          <w:rFonts w:ascii="Arial" w:eastAsia="Arial" w:hAnsi="Arial"/>
          <w:sz w:val="24"/>
          <w:lang w:val="es-AR"/>
        </w:rPr>
        <w:t>Reforzar metodologías de enseñanza vinculadas con la instancia teórica.</w:t>
      </w:r>
    </w:p>
    <w:p w:rsidR="00EA5B17" w:rsidRPr="00EA5B17" w:rsidRDefault="00EA5B17" w:rsidP="00EA5B17">
      <w:pPr>
        <w:numPr>
          <w:ilvl w:val="0"/>
          <w:numId w:val="11"/>
        </w:numPr>
        <w:spacing w:line="360" w:lineRule="auto"/>
        <w:jc w:val="both"/>
        <w:rPr>
          <w:rFonts w:ascii="Arial" w:eastAsia="Arial" w:hAnsi="Arial"/>
          <w:sz w:val="24"/>
          <w:lang w:val="es-AR"/>
        </w:rPr>
      </w:pPr>
      <w:r w:rsidRPr="00EA5B17">
        <w:rPr>
          <w:rFonts w:ascii="Arial" w:eastAsia="Arial" w:hAnsi="Arial"/>
          <w:sz w:val="24"/>
          <w:lang w:val="es-AR"/>
        </w:rPr>
        <w:t>Implementar un sistema de acompañamiento específico durante la transición entre la finalización de la cursada y la presentación al examen final.</w:t>
      </w:r>
    </w:p>
    <w:p w:rsidR="00EA5B17" w:rsidRPr="00EA5B17" w:rsidRDefault="00EA5B17" w:rsidP="00EA5B17">
      <w:pPr>
        <w:numPr>
          <w:ilvl w:val="0"/>
          <w:numId w:val="11"/>
        </w:numPr>
        <w:spacing w:line="360" w:lineRule="auto"/>
        <w:jc w:val="both"/>
        <w:rPr>
          <w:rFonts w:ascii="Arial" w:eastAsia="Arial" w:hAnsi="Arial"/>
          <w:sz w:val="24"/>
          <w:lang w:val="es-AR"/>
        </w:rPr>
      </w:pPr>
      <w:r w:rsidRPr="00EA5B17">
        <w:rPr>
          <w:rFonts w:ascii="Arial" w:eastAsia="Arial" w:hAnsi="Arial"/>
          <w:sz w:val="24"/>
          <w:lang w:val="es-AR"/>
        </w:rPr>
        <w:t>Establecer programas de tutorías orientados a la consolidación conceptual y la formalización matemática.</w:t>
      </w:r>
    </w:p>
    <w:p w:rsidR="00EA5B17" w:rsidRPr="00EA5B17" w:rsidRDefault="00EA5B17" w:rsidP="00EA5B17">
      <w:pPr>
        <w:numPr>
          <w:ilvl w:val="0"/>
          <w:numId w:val="11"/>
        </w:numPr>
        <w:spacing w:line="360" w:lineRule="auto"/>
        <w:jc w:val="both"/>
        <w:rPr>
          <w:rFonts w:ascii="Arial" w:eastAsia="Arial" w:hAnsi="Arial"/>
          <w:sz w:val="24"/>
          <w:lang w:val="es-AR"/>
        </w:rPr>
      </w:pPr>
      <w:r w:rsidRPr="00EA5B17">
        <w:rPr>
          <w:rFonts w:ascii="Arial" w:eastAsia="Arial" w:hAnsi="Arial"/>
          <w:sz w:val="24"/>
          <w:lang w:val="es-AR"/>
        </w:rPr>
        <w:t>Desarrollar simulacros del examen final con esquemas de incentivos claros.</w:t>
      </w:r>
    </w:p>
    <w:p w:rsidR="00EA5B17" w:rsidRPr="00EA5B17" w:rsidRDefault="00EA5B17" w:rsidP="00EA5B17">
      <w:pPr>
        <w:spacing w:line="360" w:lineRule="auto"/>
        <w:jc w:val="both"/>
        <w:rPr>
          <w:rFonts w:ascii="Arial" w:eastAsia="Arial" w:hAnsi="Arial"/>
          <w:sz w:val="24"/>
          <w:lang w:val="es-AR"/>
        </w:rPr>
      </w:pPr>
      <w:r w:rsidRPr="00EA5B17">
        <w:rPr>
          <w:rFonts w:ascii="Arial" w:eastAsia="Arial" w:hAnsi="Arial"/>
          <w:sz w:val="24"/>
          <w:lang w:val="es-AR"/>
        </w:rPr>
        <w:t>La sistematización de este tipo de datos contribuye a la construcción de conocimiento situado sobre condiciones de enseñanza y evaluación en carreras de ingeniería de universidades del interior del país, aportando al debate académico sobre la evaluación educativa como herramienta de justicia y mejora institucional.</w:t>
      </w:r>
    </w:p>
    <w:p w:rsidR="00C749E0" w:rsidRPr="00414A02" w:rsidRDefault="00C749E0" w:rsidP="00414A02">
      <w:pPr>
        <w:spacing w:line="360" w:lineRule="auto"/>
        <w:jc w:val="both"/>
        <w:rPr>
          <w:lang w:val="es-AR"/>
        </w:rPr>
      </w:pPr>
    </w:p>
    <w:p w:rsidR="00C749E0" w:rsidRPr="00414A02" w:rsidRDefault="00F73FDA">
      <w:pPr>
        <w:spacing w:line="360" w:lineRule="auto"/>
        <w:rPr>
          <w:lang w:val="es-AR"/>
        </w:rPr>
      </w:pPr>
      <w:r>
        <w:rPr>
          <w:rFonts w:ascii="Arial" w:eastAsia="Arial" w:hAnsi="Arial"/>
          <w:b/>
          <w:sz w:val="24"/>
          <w:lang w:val="es-AR"/>
        </w:rPr>
        <w:t>REFERENCIAS</w:t>
      </w:r>
    </w:p>
    <w:p w:rsidR="00C749E0" w:rsidRPr="00414A02" w:rsidRDefault="00F73FDA">
      <w:pPr>
        <w:spacing w:line="360" w:lineRule="auto"/>
        <w:rPr>
          <w:lang w:val="es-AR"/>
        </w:rPr>
      </w:pPr>
      <w:r>
        <w:rPr>
          <w:rFonts w:ascii="Arial" w:eastAsia="Arial" w:hAnsi="Arial"/>
          <w:sz w:val="24"/>
          <w:lang w:val="es-AR"/>
        </w:rPr>
        <w:t xml:space="preserve">Álvarez Méndez, J. M. (2001). </w:t>
      </w:r>
      <w:r>
        <w:rPr>
          <w:rFonts w:ascii="Arial" w:eastAsia="Arial" w:hAnsi="Arial"/>
          <w:i/>
          <w:iCs/>
          <w:sz w:val="24"/>
          <w:lang w:val="es-AR"/>
        </w:rPr>
        <w:t>Evaluar para conocer, examinar para excluir.</w:t>
      </w:r>
      <w:r>
        <w:rPr>
          <w:rFonts w:ascii="Arial" w:eastAsia="Arial" w:hAnsi="Arial"/>
          <w:sz w:val="24"/>
          <w:lang w:val="es-AR"/>
        </w:rPr>
        <w:t xml:space="preserve"> Morata.</w:t>
      </w:r>
    </w:p>
    <w:p w:rsidR="00F26B0E" w:rsidRPr="00693CBC" w:rsidRDefault="00F73FDA">
      <w:pPr>
        <w:spacing w:line="360" w:lineRule="auto"/>
        <w:ind w:left="720" w:hanging="720"/>
        <w:rPr>
          <w:lang w:val="es-AR"/>
        </w:rPr>
      </w:pPr>
      <w:r>
        <w:rPr>
          <w:rFonts w:ascii="Arial" w:eastAsia="Arial" w:hAnsi="Arial"/>
          <w:sz w:val="24"/>
          <w:lang w:val="es-AR"/>
        </w:rPr>
        <w:t xml:space="preserve">Artigue, M. (2011). Enseñanza y aprendizaje del análisis: ¿qué podemos aprender de las investigaciones didácticas y los cambios curriculares? En A. Crespo (Ed.), </w:t>
      </w:r>
      <w:r>
        <w:rPr>
          <w:rFonts w:ascii="Arial" w:eastAsia="Arial" w:hAnsi="Arial"/>
          <w:i/>
          <w:iCs/>
          <w:sz w:val="24"/>
          <w:lang w:val="es-AR"/>
        </w:rPr>
        <w:t>Memorias de la XIII CIAEM.</w:t>
      </w:r>
      <w:r>
        <w:rPr>
          <w:rFonts w:ascii="Arial" w:eastAsia="Arial" w:hAnsi="Arial"/>
          <w:sz w:val="24"/>
          <w:lang w:val="es-AR"/>
        </w:rPr>
        <w:t xml:space="preserve"> CIAEM.</w:t>
      </w:r>
    </w:p>
    <w:p w:rsidR="00F26B0E" w:rsidRPr="00693CBC" w:rsidRDefault="00F73FDA">
      <w:pPr>
        <w:spacing w:line="360" w:lineRule="auto"/>
        <w:ind w:left="720" w:hanging="720"/>
        <w:rPr>
          <w:lang w:val="es-AR"/>
        </w:rPr>
      </w:pPr>
      <w:r>
        <w:rPr>
          <w:rFonts w:ascii="Arial" w:eastAsia="Arial" w:hAnsi="Arial"/>
          <w:sz w:val="24"/>
          <w:lang w:val="es-AR"/>
        </w:rPr>
        <w:lastRenderedPageBreak/>
        <w:t xml:space="preserve">Camilloni, A., </w:t>
      </w:r>
      <w:proofErr w:type="spellStart"/>
      <w:r>
        <w:rPr>
          <w:rFonts w:ascii="Arial" w:eastAsia="Arial" w:hAnsi="Arial"/>
          <w:sz w:val="24"/>
          <w:lang w:val="es-AR"/>
        </w:rPr>
        <w:t>Celman</w:t>
      </w:r>
      <w:proofErr w:type="spellEnd"/>
      <w:r>
        <w:rPr>
          <w:rFonts w:ascii="Arial" w:eastAsia="Arial" w:hAnsi="Arial"/>
          <w:sz w:val="24"/>
          <w:lang w:val="es-AR"/>
        </w:rPr>
        <w:t xml:space="preserve">, S., </w:t>
      </w:r>
      <w:proofErr w:type="spellStart"/>
      <w:r>
        <w:rPr>
          <w:rFonts w:ascii="Arial" w:eastAsia="Arial" w:hAnsi="Arial"/>
          <w:sz w:val="24"/>
          <w:lang w:val="es-AR"/>
        </w:rPr>
        <w:t>Litwin</w:t>
      </w:r>
      <w:proofErr w:type="spellEnd"/>
      <w:r>
        <w:rPr>
          <w:rFonts w:ascii="Arial" w:eastAsia="Arial" w:hAnsi="Arial"/>
          <w:sz w:val="24"/>
          <w:lang w:val="es-AR"/>
        </w:rPr>
        <w:t xml:space="preserve">, E., y </w:t>
      </w:r>
      <w:proofErr w:type="spellStart"/>
      <w:r>
        <w:rPr>
          <w:rFonts w:ascii="Arial" w:eastAsia="Arial" w:hAnsi="Arial"/>
          <w:sz w:val="24"/>
          <w:lang w:val="es-AR"/>
        </w:rPr>
        <w:t>Palou</w:t>
      </w:r>
      <w:proofErr w:type="spellEnd"/>
      <w:r>
        <w:rPr>
          <w:rFonts w:ascii="Arial" w:eastAsia="Arial" w:hAnsi="Arial"/>
          <w:sz w:val="24"/>
          <w:lang w:val="es-AR"/>
        </w:rPr>
        <w:t xml:space="preserve"> de Maté, M. C. (1998). </w:t>
      </w:r>
      <w:r>
        <w:rPr>
          <w:rFonts w:ascii="Arial" w:eastAsia="Arial" w:hAnsi="Arial"/>
          <w:i/>
          <w:iCs/>
          <w:sz w:val="24"/>
          <w:lang w:val="es-AR"/>
        </w:rPr>
        <w:t>La evaluación de los aprendizajes en el debate didáctico contemporáneo.</w:t>
      </w:r>
      <w:r>
        <w:rPr>
          <w:rFonts w:ascii="Arial" w:eastAsia="Arial" w:hAnsi="Arial"/>
          <w:sz w:val="24"/>
          <w:lang w:val="es-AR"/>
        </w:rPr>
        <w:t xml:space="preserve"> Paidós.</w:t>
      </w:r>
    </w:p>
    <w:p w:rsidR="00F26B0E" w:rsidRDefault="00F73FDA">
      <w:pPr>
        <w:spacing w:line="360" w:lineRule="auto"/>
        <w:ind w:left="720" w:hanging="720"/>
      </w:pPr>
      <w:proofErr w:type="spellStart"/>
      <w:r>
        <w:rPr>
          <w:rFonts w:ascii="Arial" w:eastAsia="Arial" w:hAnsi="Arial"/>
          <w:sz w:val="24"/>
          <w:lang w:val="es-AR"/>
        </w:rPr>
        <w:t>Terigi</w:t>
      </w:r>
      <w:proofErr w:type="spellEnd"/>
      <w:r>
        <w:rPr>
          <w:rFonts w:ascii="Arial" w:eastAsia="Arial" w:hAnsi="Arial"/>
          <w:sz w:val="24"/>
          <w:lang w:val="es-AR"/>
        </w:rPr>
        <w:t xml:space="preserve">, F. (2007). Los desafíos que plantean las trayectorias escolares. En </w:t>
      </w:r>
      <w:r>
        <w:rPr>
          <w:rFonts w:ascii="Arial" w:eastAsia="Arial" w:hAnsi="Arial"/>
          <w:i/>
          <w:iCs/>
          <w:sz w:val="24"/>
          <w:lang w:val="es-AR"/>
        </w:rPr>
        <w:t>III Foro Latinoamericano de Educación.</w:t>
      </w:r>
      <w:r>
        <w:rPr>
          <w:rFonts w:ascii="Arial" w:eastAsia="Arial" w:hAnsi="Arial"/>
          <w:sz w:val="24"/>
          <w:lang w:val="es-AR"/>
        </w:rPr>
        <w:t xml:space="preserve"> Fundación Santillana.</w:t>
      </w:r>
    </w:p>
    <w:sectPr w:rsidR="00F26B0E" w:rsidSect="002532FC">
      <w:headerReference w:type="default" r:id="rId8"/>
      <w:footerReference w:type="default" r:id="rId9"/>
      <w:pgSz w:w="12240" w:h="15840"/>
      <w:pgMar w:top="2960"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FDA" w:rsidRDefault="00F73FDA" w:rsidP="00414A02">
      <w:pPr>
        <w:spacing w:after="0" w:line="240" w:lineRule="auto"/>
      </w:pPr>
      <w:r>
        <w:separator/>
      </w:r>
    </w:p>
  </w:endnote>
  <w:endnote w:type="continuationSeparator" w:id="0">
    <w:p w:rsidR="00F73FDA" w:rsidRDefault="00F73FDA"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FDA" w:rsidRDefault="00F73FDA" w:rsidP="00414A02">
      <w:pPr>
        <w:spacing w:after="0" w:line="240" w:lineRule="auto"/>
      </w:pPr>
      <w:r>
        <w:separator/>
      </w:r>
    </w:p>
  </w:footnote>
  <w:footnote w:type="continuationSeparator" w:id="0">
    <w:p w:rsidR="00F73FDA" w:rsidRDefault="00F73FDA" w:rsidP="00414A02">
      <w:pPr>
        <w:spacing w:after="0" w:line="240" w:lineRule="auto"/>
      </w:pPr>
      <w:r>
        <w:continuationSeparator/>
      </w:r>
    </w:p>
  </w:footnote>
  <w:footnote w:id="1">
    <w:p w:rsidR="006132F6" w:rsidRPr="00414A02" w:rsidRDefault="006132F6" w:rsidP="006132F6">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6132F6">
        <w:rPr>
          <w:rFonts w:ascii="Arial" w:hAnsi="Arial" w:cs="Arial"/>
          <w:sz w:val="20"/>
          <w:szCs w:val="20"/>
          <w:lang w:val="es-AR"/>
        </w:rPr>
        <w:t xml:space="preserve"> </w:t>
      </w:r>
      <w:r w:rsidR="000409CB">
        <w:rPr>
          <w:rFonts w:ascii="Arial" w:hAnsi="Arial" w:cs="Arial"/>
          <w:sz w:val="20"/>
          <w:szCs w:val="20"/>
          <w:lang w:val="es-AR"/>
        </w:rPr>
        <w:t xml:space="preserve">Universidad Nacional del Chaco Austral, Instituto GeoGebra Chaco </w:t>
      </w:r>
    </w:p>
  </w:footnote>
  <w:footnote w:id="2">
    <w:p w:rsidR="006132F6" w:rsidRPr="00414A02" w:rsidRDefault="006132F6" w:rsidP="000409CB">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6132F6">
        <w:rPr>
          <w:rFonts w:ascii="Arial" w:hAnsi="Arial" w:cs="Arial"/>
          <w:sz w:val="20"/>
          <w:szCs w:val="20"/>
          <w:lang w:val="es-AR"/>
        </w:rPr>
        <w:t xml:space="preserve"> </w:t>
      </w:r>
      <w:r w:rsidR="000409CB">
        <w:rPr>
          <w:rFonts w:ascii="Arial" w:hAnsi="Arial" w:cs="Arial"/>
          <w:sz w:val="20"/>
          <w:szCs w:val="20"/>
          <w:lang w:val="es-AR"/>
        </w:rPr>
        <w:t>Universidad Nacional del Chaco Austral, Instituto GeoGebra Chaco</w:t>
      </w:r>
    </w:p>
  </w:footnote>
  <w:footnote w:id="3">
    <w:p w:rsidR="006132F6" w:rsidRPr="00414A02" w:rsidRDefault="006132F6" w:rsidP="000409CB">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6132F6">
        <w:rPr>
          <w:rFonts w:ascii="Arial" w:hAnsi="Arial" w:cs="Arial"/>
          <w:sz w:val="20"/>
          <w:szCs w:val="20"/>
          <w:lang w:val="es-AR"/>
        </w:rPr>
        <w:t xml:space="preserve"> </w:t>
      </w:r>
      <w:r w:rsidR="000409CB">
        <w:rPr>
          <w:rFonts w:ascii="Arial" w:hAnsi="Arial" w:cs="Arial"/>
          <w:sz w:val="20"/>
          <w:szCs w:val="20"/>
          <w:lang w:val="es-AR"/>
        </w:rPr>
        <w:t>Universidad Nacional del Chaco Austral, Instituto GeoGebra Chaco</w:t>
      </w:r>
    </w:p>
    <w:p w:rsidR="006132F6" w:rsidRPr="000409CB" w:rsidRDefault="006132F6" w:rsidP="006132F6">
      <w:pPr>
        <w:pStyle w:val="Textonotapie"/>
        <w:rPr>
          <w:lang w:val="es-A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A02" w:rsidRDefault="002532FC">
    <w:pPr>
      <w:pStyle w:val="Encabezado"/>
    </w:pPr>
    <w:r>
      <w:rPr>
        <w:noProof/>
      </w:rPr>
      <w:drawing>
        <wp:anchor distT="0" distB="0" distL="114300" distR="114300" simplePos="0" relativeHeight="251659264" behindDoc="1" locked="0" layoutInCell="1" allowOverlap="1" wp14:anchorId="76571B15" wp14:editId="06B6DD9B">
          <wp:simplePos x="0" y="0"/>
          <wp:positionH relativeFrom="column">
            <wp:posOffset>730885</wp:posOffset>
          </wp:positionH>
          <wp:positionV relativeFrom="paragraph">
            <wp:posOffset>-99060</wp:posOffset>
          </wp:positionV>
          <wp:extent cx="4332605" cy="1246505"/>
          <wp:effectExtent l="0" t="0" r="0" b="0"/>
          <wp:wrapTight wrapText="bothSides">
            <wp:wrapPolygon edited="0">
              <wp:start x="0" y="0"/>
              <wp:lineTo x="0" y="21127"/>
              <wp:lineTo x="21464" y="21127"/>
              <wp:lineTo x="21464"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p w:rsidR="002532FC" w:rsidRDefault="002532FC">
    <w:pPr>
      <w:pStyle w:val="Encabezado"/>
    </w:pPr>
  </w:p>
  <w:p w:rsidR="002532FC" w:rsidRDefault="002532FC">
    <w:pPr>
      <w:pStyle w:val="Encabezado"/>
    </w:pPr>
  </w:p>
  <w:p w:rsidR="002532FC" w:rsidRPr="001F245B" w:rsidRDefault="002532FC">
    <w:pPr>
      <w:pStyle w:val="Encabezado"/>
      <w:rPr>
        <w:sz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5CC77542"/>
    <w:multiLevelType w:val="multilevel"/>
    <w:tmpl w:val="66F6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234957"/>
    <w:multiLevelType w:val="multilevel"/>
    <w:tmpl w:val="BF361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92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09CB"/>
    <w:rsid w:val="0006063C"/>
    <w:rsid w:val="000F4957"/>
    <w:rsid w:val="0015074B"/>
    <w:rsid w:val="001F245B"/>
    <w:rsid w:val="002532FC"/>
    <w:rsid w:val="002821AD"/>
    <w:rsid w:val="0029639D"/>
    <w:rsid w:val="00326F90"/>
    <w:rsid w:val="00414A02"/>
    <w:rsid w:val="004366BF"/>
    <w:rsid w:val="00486BDA"/>
    <w:rsid w:val="004E73A0"/>
    <w:rsid w:val="005227D6"/>
    <w:rsid w:val="00553E8E"/>
    <w:rsid w:val="006132F6"/>
    <w:rsid w:val="006578AA"/>
    <w:rsid w:val="00693CBC"/>
    <w:rsid w:val="009674A2"/>
    <w:rsid w:val="00AA1D8D"/>
    <w:rsid w:val="00B47730"/>
    <w:rsid w:val="00C1328B"/>
    <w:rsid w:val="00C345B0"/>
    <w:rsid w:val="00C749E0"/>
    <w:rsid w:val="00CB0664"/>
    <w:rsid w:val="00CE1D67"/>
    <w:rsid w:val="00D349DE"/>
    <w:rsid w:val="00EA5B17"/>
    <w:rsid w:val="00F26B0E"/>
    <w:rsid w:val="00F73F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14:docId w14:val="4650DB91"/>
  <w14:defaultImageDpi w14:val="300"/>
  <w15:docId w15:val="{10F970BC-799B-4D97-A15C-F92A214E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22525">
      <w:bodyDiv w:val="1"/>
      <w:marLeft w:val="0"/>
      <w:marRight w:val="0"/>
      <w:marTop w:val="0"/>
      <w:marBottom w:val="0"/>
      <w:divBdr>
        <w:top w:val="none" w:sz="0" w:space="0" w:color="auto"/>
        <w:left w:val="none" w:sz="0" w:space="0" w:color="auto"/>
        <w:bottom w:val="none" w:sz="0" w:space="0" w:color="auto"/>
        <w:right w:val="none" w:sz="0" w:space="0" w:color="auto"/>
      </w:divBdr>
      <w:divsChild>
        <w:div w:id="1741949536">
          <w:marLeft w:val="0"/>
          <w:marRight w:val="0"/>
          <w:marTop w:val="0"/>
          <w:marBottom w:val="0"/>
          <w:divBdr>
            <w:top w:val="none" w:sz="0" w:space="0" w:color="auto"/>
            <w:left w:val="none" w:sz="0" w:space="0" w:color="auto"/>
            <w:bottom w:val="none" w:sz="0" w:space="0" w:color="auto"/>
            <w:right w:val="none" w:sz="0" w:space="0" w:color="auto"/>
          </w:divBdr>
        </w:div>
      </w:divsChild>
    </w:div>
    <w:div w:id="82459918">
      <w:bodyDiv w:val="1"/>
      <w:marLeft w:val="0"/>
      <w:marRight w:val="0"/>
      <w:marTop w:val="0"/>
      <w:marBottom w:val="0"/>
      <w:divBdr>
        <w:top w:val="none" w:sz="0" w:space="0" w:color="auto"/>
        <w:left w:val="none" w:sz="0" w:space="0" w:color="auto"/>
        <w:bottom w:val="none" w:sz="0" w:space="0" w:color="auto"/>
        <w:right w:val="none" w:sz="0" w:space="0" w:color="auto"/>
      </w:divBdr>
      <w:divsChild>
        <w:div w:id="1338003742">
          <w:marLeft w:val="0"/>
          <w:marRight w:val="0"/>
          <w:marTop w:val="0"/>
          <w:marBottom w:val="0"/>
          <w:divBdr>
            <w:top w:val="none" w:sz="0" w:space="0" w:color="auto"/>
            <w:left w:val="none" w:sz="0" w:space="0" w:color="auto"/>
            <w:bottom w:val="none" w:sz="0" w:space="0" w:color="auto"/>
            <w:right w:val="none" w:sz="0" w:space="0" w:color="auto"/>
          </w:divBdr>
        </w:div>
      </w:divsChild>
    </w:div>
    <w:div w:id="95488248">
      <w:bodyDiv w:val="1"/>
      <w:marLeft w:val="0"/>
      <w:marRight w:val="0"/>
      <w:marTop w:val="0"/>
      <w:marBottom w:val="0"/>
      <w:divBdr>
        <w:top w:val="none" w:sz="0" w:space="0" w:color="auto"/>
        <w:left w:val="none" w:sz="0" w:space="0" w:color="auto"/>
        <w:bottom w:val="none" w:sz="0" w:space="0" w:color="auto"/>
        <w:right w:val="none" w:sz="0" w:space="0" w:color="auto"/>
      </w:divBdr>
      <w:divsChild>
        <w:div w:id="1898005666">
          <w:marLeft w:val="0"/>
          <w:marRight w:val="0"/>
          <w:marTop w:val="0"/>
          <w:marBottom w:val="0"/>
          <w:divBdr>
            <w:top w:val="none" w:sz="0" w:space="0" w:color="auto"/>
            <w:left w:val="none" w:sz="0" w:space="0" w:color="auto"/>
            <w:bottom w:val="none" w:sz="0" w:space="0" w:color="auto"/>
            <w:right w:val="none" w:sz="0" w:space="0" w:color="auto"/>
          </w:divBdr>
        </w:div>
      </w:divsChild>
    </w:div>
    <w:div w:id="597371442">
      <w:bodyDiv w:val="1"/>
      <w:marLeft w:val="0"/>
      <w:marRight w:val="0"/>
      <w:marTop w:val="0"/>
      <w:marBottom w:val="0"/>
      <w:divBdr>
        <w:top w:val="none" w:sz="0" w:space="0" w:color="auto"/>
        <w:left w:val="none" w:sz="0" w:space="0" w:color="auto"/>
        <w:bottom w:val="none" w:sz="0" w:space="0" w:color="auto"/>
        <w:right w:val="none" w:sz="0" w:space="0" w:color="auto"/>
      </w:divBdr>
      <w:divsChild>
        <w:div w:id="670372159">
          <w:marLeft w:val="0"/>
          <w:marRight w:val="0"/>
          <w:marTop w:val="0"/>
          <w:marBottom w:val="0"/>
          <w:divBdr>
            <w:top w:val="none" w:sz="0" w:space="0" w:color="auto"/>
            <w:left w:val="none" w:sz="0" w:space="0" w:color="auto"/>
            <w:bottom w:val="none" w:sz="0" w:space="0" w:color="auto"/>
            <w:right w:val="none" w:sz="0" w:space="0" w:color="auto"/>
          </w:divBdr>
        </w:div>
      </w:divsChild>
    </w:div>
    <w:div w:id="861627043">
      <w:bodyDiv w:val="1"/>
      <w:marLeft w:val="0"/>
      <w:marRight w:val="0"/>
      <w:marTop w:val="0"/>
      <w:marBottom w:val="0"/>
      <w:divBdr>
        <w:top w:val="none" w:sz="0" w:space="0" w:color="auto"/>
        <w:left w:val="none" w:sz="0" w:space="0" w:color="auto"/>
        <w:bottom w:val="none" w:sz="0" w:space="0" w:color="auto"/>
        <w:right w:val="none" w:sz="0" w:space="0" w:color="auto"/>
      </w:divBdr>
      <w:divsChild>
        <w:div w:id="762991620">
          <w:marLeft w:val="0"/>
          <w:marRight w:val="0"/>
          <w:marTop w:val="0"/>
          <w:marBottom w:val="0"/>
          <w:divBdr>
            <w:top w:val="none" w:sz="0" w:space="0" w:color="auto"/>
            <w:left w:val="none" w:sz="0" w:space="0" w:color="auto"/>
            <w:bottom w:val="none" w:sz="0" w:space="0" w:color="auto"/>
            <w:right w:val="none" w:sz="0" w:space="0" w:color="auto"/>
          </w:divBdr>
        </w:div>
      </w:divsChild>
    </w:div>
    <w:div w:id="878081967">
      <w:bodyDiv w:val="1"/>
      <w:marLeft w:val="0"/>
      <w:marRight w:val="0"/>
      <w:marTop w:val="0"/>
      <w:marBottom w:val="0"/>
      <w:divBdr>
        <w:top w:val="none" w:sz="0" w:space="0" w:color="auto"/>
        <w:left w:val="none" w:sz="0" w:space="0" w:color="auto"/>
        <w:bottom w:val="none" w:sz="0" w:space="0" w:color="auto"/>
        <w:right w:val="none" w:sz="0" w:space="0" w:color="auto"/>
      </w:divBdr>
      <w:divsChild>
        <w:div w:id="286663917">
          <w:marLeft w:val="0"/>
          <w:marRight w:val="0"/>
          <w:marTop w:val="0"/>
          <w:marBottom w:val="0"/>
          <w:divBdr>
            <w:top w:val="none" w:sz="0" w:space="0" w:color="auto"/>
            <w:left w:val="none" w:sz="0" w:space="0" w:color="auto"/>
            <w:bottom w:val="none" w:sz="0" w:space="0" w:color="auto"/>
            <w:right w:val="none" w:sz="0" w:space="0" w:color="auto"/>
          </w:divBdr>
        </w:div>
      </w:divsChild>
    </w:div>
    <w:div w:id="908461316">
      <w:bodyDiv w:val="1"/>
      <w:marLeft w:val="0"/>
      <w:marRight w:val="0"/>
      <w:marTop w:val="0"/>
      <w:marBottom w:val="0"/>
      <w:divBdr>
        <w:top w:val="none" w:sz="0" w:space="0" w:color="auto"/>
        <w:left w:val="none" w:sz="0" w:space="0" w:color="auto"/>
        <w:bottom w:val="none" w:sz="0" w:space="0" w:color="auto"/>
        <w:right w:val="none" w:sz="0" w:space="0" w:color="auto"/>
      </w:divBdr>
      <w:divsChild>
        <w:div w:id="737945324">
          <w:marLeft w:val="0"/>
          <w:marRight w:val="0"/>
          <w:marTop w:val="0"/>
          <w:marBottom w:val="0"/>
          <w:divBdr>
            <w:top w:val="none" w:sz="0" w:space="0" w:color="auto"/>
            <w:left w:val="none" w:sz="0" w:space="0" w:color="auto"/>
            <w:bottom w:val="none" w:sz="0" w:space="0" w:color="auto"/>
            <w:right w:val="none" w:sz="0" w:space="0" w:color="auto"/>
          </w:divBdr>
        </w:div>
      </w:divsChild>
    </w:div>
    <w:div w:id="923025609">
      <w:bodyDiv w:val="1"/>
      <w:marLeft w:val="0"/>
      <w:marRight w:val="0"/>
      <w:marTop w:val="0"/>
      <w:marBottom w:val="0"/>
      <w:divBdr>
        <w:top w:val="none" w:sz="0" w:space="0" w:color="auto"/>
        <w:left w:val="none" w:sz="0" w:space="0" w:color="auto"/>
        <w:bottom w:val="none" w:sz="0" w:space="0" w:color="auto"/>
        <w:right w:val="none" w:sz="0" w:space="0" w:color="auto"/>
      </w:divBdr>
    </w:div>
    <w:div w:id="1257907961">
      <w:bodyDiv w:val="1"/>
      <w:marLeft w:val="0"/>
      <w:marRight w:val="0"/>
      <w:marTop w:val="0"/>
      <w:marBottom w:val="0"/>
      <w:divBdr>
        <w:top w:val="none" w:sz="0" w:space="0" w:color="auto"/>
        <w:left w:val="none" w:sz="0" w:space="0" w:color="auto"/>
        <w:bottom w:val="none" w:sz="0" w:space="0" w:color="auto"/>
        <w:right w:val="none" w:sz="0" w:space="0" w:color="auto"/>
      </w:divBdr>
      <w:divsChild>
        <w:div w:id="942608457">
          <w:marLeft w:val="0"/>
          <w:marRight w:val="0"/>
          <w:marTop w:val="0"/>
          <w:marBottom w:val="0"/>
          <w:divBdr>
            <w:top w:val="none" w:sz="0" w:space="0" w:color="auto"/>
            <w:left w:val="none" w:sz="0" w:space="0" w:color="auto"/>
            <w:bottom w:val="none" w:sz="0" w:space="0" w:color="auto"/>
            <w:right w:val="none" w:sz="0" w:space="0" w:color="auto"/>
          </w:divBdr>
        </w:div>
      </w:divsChild>
    </w:div>
    <w:div w:id="1376274523">
      <w:bodyDiv w:val="1"/>
      <w:marLeft w:val="0"/>
      <w:marRight w:val="0"/>
      <w:marTop w:val="0"/>
      <w:marBottom w:val="0"/>
      <w:divBdr>
        <w:top w:val="none" w:sz="0" w:space="0" w:color="auto"/>
        <w:left w:val="none" w:sz="0" w:space="0" w:color="auto"/>
        <w:bottom w:val="none" w:sz="0" w:space="0" w:color="auto"/>
        <w:right w:val="none" w:sz="0" w:space="0" w:color="auto"/>
      </w:divBdr>
      <w:divsChild>
        <w:div w:id="2083213256">
          <w:marLeft w:val="0"/>
          <w:marRight w:val="0"/>
          <w:marTop w:val="0"/>
          <w:marBottom w:val="0"/>
          <w:divBdr>
            <w:top w:val="none" w:sz="0" w:space="0" w:color="auto"/>
            <w:left w:val="none" w:sz="0" w:space="0" w:color="auto"/>
            <w:bottom w:val="none" w:sz="0" w:space="0" w:color="auto"/>
            <w:right w:val="none" w:sz="0" w:space="0" w:color="auto"/>
          </w:divBdr>
        </w:div>
      </w:divsChild>
    </w:div>
    <w:div w:id="1453281435">
      <w:bodyDiv w:val="1"/>
      <w:marLeft w:val="0"/>
      <w:marRight w:val="0"/>
      <w:marTop w:val="0"/>
      <w:marBottom w:val="0"/>
      <w:divBdr>
        <w:top w:val="none" w:sz="0" w:space="0" w:color="auto"/>
        <w:left w:val="none" w:sz="0" w:space="0" w:color="auto"/>
        <w:bottom w:val="none" w:sz="0" w:space="0" w:color="auto"/>
        <w:right w:val="none" w:sz="0" w:space="0" w:color="auto"/>
      </w:divBdr>
      <w:divsChild>
        <w:div w:id="561252081">
          <w:marLeft w:val="0"/>
          <w:marRight w:val="0"/>
          <w:marTop w:val="0"/>
          <w:marBottom w:val="0"/>
          <w:divBdr>
            <w:top w:val="none" w:sz="0" w:space="0" w:color="auto"/>
            <w:left w:val="none" w:sz="0" w:space="0" w:color="auto"/>
            <w:bottom w:val="none" w:sz="0" w:space="0" w:color="auto"/>
            <w:right w:val="none" w:sz="0" w:space="0" w:color="auto"/>
          </w:divBdr>
        </w:div>
      </w:divsChild>
    </w:div>
    <w:div w:id="19245352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E091F-F03E-4AF4-A914-592872C6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1488</Words>
  <Characters>8483</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Patricia</cp:lastModifiedBy>
  <cp:revision>4</cp:revision>
  <cp:lastPrinted>2026-04-08T14:36:00Z</cp:lastPrinted>
  <dcterms:created xsi:type="dcterms:W3CDTF">2026-04-22T14:24:00Z</dcterms:created>
  <dcterms:modified xsi:type="dcterms:W3CDTF">2026-04-22T14:30:00Z</dcterms:modified>
  <cp:category/>
</cp:coreProperties>
</file>