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EBCDD" w14:textId="77777777" w:rsidR="00414A02" w:rsidRDefault="00414A02">
      <w:pPr>
        <w:spacing w:line="360" w:lineRule="auto"/>
        <w:jc w:val="center"/>
        <w:rPr>
          <w:rFonts w:ascii="Arial" w:eastAsia="Arial" w:hAnsi="Arial"/>
          <w:b/>
          <w:sz w:val="28"/>
          <w:lang w:val="es-AR"/>
        </w:rPr>
      </w:pPr>
    </w:p>
    <w:p w14:paraId="2FD0409B" w14:textId="77777777" w:rsidR="00414A02" w:rsidRDefault="00414A02">
      <w:pPr>
        <w:spacing w:line="360" w:lineRule="auto"/>
        <w:jc w:val="center"/>
        <w:rPr>
          <w:rFonts w:ascii="Arial" w:eastAsia="Arial" w:hAnsi="Arial"/>
          <w:b/>
          <w:sz w:val="28"/>
          <w:lang w:val="es-AR"/>
        </w:rPr>
      </w:pPr>
    </w:p>
    <w:p w14:paraId="634B3760" w14:textId="0E739F02" w:rsidR="00C749E0" w:rsidRPr="00414A02" w:rsidRDefault="00FD59B7">
      <w:pPr>
        <w:spacing w:line="360" w:lineRule="auto"/>
        <w:jc w:val="center"/>
        <w:rPr>
          <w:lang w:val="es-AR"/>
        </w:rPr>
      </w:pPr>
      <w:r w:rsidRPr="00FD59B7">
        <w:rPr>
          <w:rFonts w:ascii="Arial" w:eastAsia="Arial" w:hAnsi="Arial"/>
          <w:b/>
          <w:sz w:val="28"/>
          <w:lang w:val="es-AR"/>
        </w:rPr>
        <w:t>Innovación educativa en educación superior: entre la visión instrumental y una lectura desde la tríada hermenéutica</w:t>
      </w:r>
    </w:p>
    <w:p w14:paraId="57983923" w14:textId="5094E4E1" w:rsidR="00C749E0" w:rsidRPr="00FD59B7" w:rsidRDefault="00FD59B7">
      <w:pPr>
        <w:spacing w:line="360" w:lineRule="auto"/>
        <w:jc w:val="center"/>
      </w:pPr>
      <w:r w:rsidRPr="00FD59B7">
        <w:rPr>
          <w:rFonts w:ascii="Arial" w:eastAsia="Arial" w:hAnsi="Arial"/>
          <w:b/>
          <w:sz w:val="28"/>
        </w:rPr>
        <w:t>Educational Innovation in Higher Education: Between Instrumental Visions and a Hermeneutic Triad Approach</w:t>
      </w:r>
    </w:p>
    <w:p w14:paraId="05D4D6B3" w14:textId="02894E54" w:rsidR="00C749E0" w:rsidRPr="00414A02" w:rsidRDefault="00FD59B7">
      <w:pPr>
        <w:spacing w:line="360" w:lineRule="auto"/>
        <w:jc w:val="center"/>
        <w:rPr>
          <w:lang w:val="es-AR"/>
        </w:rPr>
      </w:pPr>
      <w:proofErr w:type="spellStart"/>
      <w:r w:rsidRPr="00FD59B7">
        <w:rPr>
          <w:rFonts w:ascii="Arial" w:eastAsia="Arial" w:hAnsi="Arial"/>
          <w:b/>
          <w:sz w:val="28"/>
          <w:lang w:val="es-AR"/>
        </w:rPr>
        <w:t>Inovação</w:t>
      </w:r>
      <w:proofErr w:type="spellEnd"/>
      <w:r w:rsidRPr="00FD59B7">
        <w:rPr>
          <w:rFonts w:ascii="Arial" w:eastAsia="Arial" w:hAnsi="Arial"/>
          <w:b/>
          <w:sz w:val="28"/>
          <w:lang w:val="es-AR"/>
        </w:rPr>
        <w:t xml:space="preserve"> educacional no </w:t>
      </w:r>
      <w:proofErr w:type="spellStart"/>
      <w:r w:rsidRPr="00FD59B7">
        <w:rPr>
          <w:rFonts w:ascii="Arial" w:eastAsia="Arial" w:hAnsi="Arial"/>
          <w:b/>
          <w:sz w:val="28"/>
          <w:lang w:val="es-AR"/>
        </w:rPr>
        <w:t>ensino</w:t>
      </w:r>
      <w:proofErr w:type="spellEnd"/>
      <w:r w:rsidRPr="00FD59B7">
        <w:rPr>
          <w:rFonts w:ascii="Arial" w:eastAsia="Arial" w:hAnsi="Arial"/>
          <w:b/>
          <w:sz w:val="28"/>
          <w:lang w:val="es-AR"/>
        </w:rPr>
        <w:t xml:space="preserve"> superior: entre a </w:t>
      </w:r>
      <w:proofErr w:type="spellStart"/>
      <w:r w:rsidRPr="00FD59B7">
        <w:rPr>
          <w:rFonts w:ascii="Arial" w:eastAsia="Arial" w:hAnsi="Arial"/>
          <w:b/>
          <w:sz w:val="28"/>
          <w:lang w:val="es-AR"/>
        </w:rPr>
        <w:t>visão</w:t>
      </w:r>
      <w:proofErr w:type="spellEnd"/>
      <w:r w:rsidRPr="00FD59B7">
        <w:rPr>
          <w:rFonts w:ascii="Arial" w:eastAsia="Arial" w:hAnsi="Arial"/>
          <w:b/>
          <w:sz w:val="28"/>
          <w:lang w:val="es-AR"/>
        </w:rPr>
        <w:t xml:space="preserve"> instrumental e </w:t>
      </w:r>
      <w:proofErr w:type="spellStart"/>
      <w:r w:rsidRPr="00FD59B7">
        <w:rPr>
          <w:rFonts w:ascii="Arial" w:eastAsia="Arial" w:hAnsi="Arial"/>
          <w:b/>
          <w:sz w:val="28"/>
          <w:lang w:val="es-AR"/>
        </w:rPr>
        <w:t>uma</w:t>
      </w:r>
      <w:proofErr w:type="spellEnd"/>
      <w:r w:rsidRPr="00FD59B7">
        <w:rPr>
          <w:rFonts w:ascii="Arial" w:eastAsia="Arial" w:hAnsi="Arial"/>
          <w:b/>
          <w:sz w:val="28"/>
          <w:lang w:val="es-AR"/>
        </w:rPr>
        <w:t xml:space="preserve"> </w:t>
      </w:r>
      <w:proofErr w:type="spellStart"/>
      <w:r w:rsidRPr="00FD59B7">
        <w:rPr>
          <w:rFonts w:ascii="Arial" w:eastAsia="Arial" w:hAnsi="Arial"/>
          <w:b/>
          <w:sz w:val="28"/>
          <w:lang w:val="es-AR"/>
        </w:rPr>
        <w:t>leitura</w:t>
      </w:r>
      <w:proofErr w:type="spellEnd"/>
      <w:r w:rsidRPr="00FD59B7">
        <w:rPr>
          <w:rFonts w:ascii="Arial" w:eastAsia="Arial" w:hAnsi="Arial"/>
          <w:b/>
          <w:sz w:val="28"/>
          <w:lang w:val="es-AR"/>
        </w:rPr>
        <w:t xml:space="preserve"> a partir da tríade </w:t>
      </w:r>
      <w:proofErr w:type="spellStart"/>
      <w:r w:rsidRPr="00FD59B7">
        <w:rPr>
          <w:rFonts w:ascii="Arial" w:eastAsia="Arial" w:hAnsi="Arial"/>
          <w:b/>
          <w:sz w:val="28"/>
          <w:lang w:val="es-AR"/>
        </w:rPr>
        <w:t>hermenêutica</w:t>
      </w:r>
      <w:proofErr w:type="spellEnd"/>
    </w:p>
    <w:p w14:paraId="5A54681C" w14:textId="5C88D805" w:rsidR="00C749E0" w:rsidRPr="00414A02" w:rsidRDefault="00000000" w:rsidP="00414A02">
      <w:pPr>
        <w:spacing w:line="360" w:lineRule="auto"/>
        <w:rPr>
          <w:lang w:val="es-AR"/>
        </w:rPr>
      </w:pPr>
      <w:r w:rsidRPr="00414A02">
        <w:rPr>
          <w:rFonts w:ascii="Arial" w:eastAsia="Arial" w:hAnsi="Arial"/>
          <w:lang w:val="es-AR"/>
        </w:rPr>
        <w:t xml:space="preserve">Palabras clave: </w:t>
      </w:r>
      <w:r w:rsidR="00FD59B7" w:rsidRPr="00FD59B7">
        <w:rPr>
          <w:rFonts w:ascii="Arial" w:eastAsia="Arial" w:hAnsi="Arial"/>
          <w:lang w:val="es-AR"/>
        </w:rPr>
        <w:t>innovación educativa; concepciones docentes; tríada hermenéutica; educación superior</w:t>
      </w:r>
    </w:p>
    <w:p w14:paraId="732AE4A4" w14:textId="7CB2F760" w:rsidR="00C749E0" w:rsidRDefault="00000000">
      <w:pPr>
        <w:spacing w:line="360" w:lineRule="auto"/>
      </w:pPr>
      <w:r>
        <w:rPr>
          <w:rFonts w:ascii="Arial" w:eastAsia="Arial" w:hAnsi="Arial"/>
        </w:rPr>
        <w:t xml:space="preserve">Keywords: </w:t>
      </w:r>
      <w:r w:rsidR="00FD59B7" w:rsidRPr="00FD59B7">
        <w:rPr>
          <w:rFonts w:ascii="Arial" w:eastAsia="Arial" w:hAnsi="Arial"/>
        </w:rPr>
        <w:t>educational innovation; teacher conceptions; hermeneutic triad; higher education</w:t>
      </w:r>
    </w:p>
    <w:p w14:paraId="4F926C0D" w14:textId="646F03CA" w:rsidR="00C749E0" w:rsidRPr="00FD59B7" w:rsidRDefault="00000000">
      <w:pPr>
        <w:spacing w:line="360" w:lineRule="auto"/>
        <w:rPr>
          <w:lang w:val="es-AR"/>
        </w:rPr>
      </w:pPr>
      <w:proofErr w:type="spellStart"/>
      <w:r w:rsidRPr="00FD59B7">
        <w:rPr>
          <w:rFonts w:ascii="Arial" w:eastAsia="Arial" w:hAnsi="Arial"/>
          <w:lang w:val="es-AR"/>
        </w:rPr>
        <w:t>Palavras</w:t>
      </w:r>
      <w:proofErr w:type="spellEnd"/>
      <w:r w:rsidRPr="00FD59B7">
        <w:rPr>
          <w:rFonts w:ascii="Arial" w:eastAsia="Arial" w:hAnsi="Arial"/>
          <w:lang w:val="es-AR"/>
        </w:rPr>
        <w:t xml:space="preserve">-chave: </w:t>
      </w:r>
      <w:proofErr w:type="spellStart"/>
      <w:r w:rsidR="00FD59B7" w:rsidRPr="00FD59B7">
        <w:rPr>
          <w:rFonts w:ascii="Arial" w:eastAsia="Arial" w:hAnsi="Arial"/>
          <w:lang w:val="es-AR"/>
        </w:rPr>
        <w:t>inovação</w:t>
      </w:r>
      <w:proofErr w:type="spellEnd"/>
      <w:r w:rsidR="00FD59B7" w:rsidRPr="00FD59B7">
        <w:rPr>
          <w:rFonts w:ascii="Arial" w:eastAsia="Arial" w:hAnsi="Arial"/>
          <w:lang w:val="es-AR"/>
        </w:rPr>
        <w:t xml:space="preserve"> educacional; </w:t>
      </w:r>
      <w:proofErr w:type="spellStart"/>
      <w:r w:rsidR="00FD59B7" w:rsidRPr="00FD59B7">
        <w:rPr>
          <w:rFonts w:ascii="Arial" w:eastAsia="Arial" w:hAnsi="Arial"/>
          <w:lang w:val="es-AR"/>
        </w:rPr>
        <w:t>concepções</w:t>
      </w:r>
      <w:proofErr w:type="spellEnd"/>
      <w:r w:rsidR="00FD59B7" w:rsidRPr="00FD59B7">
        <w:rPr>
          <w:rFonts w:ascii="Arial" w:eastAsia="Arial" w:hAnsi="Arial"/>
          <w:lang w:val="es-AR"/>
        </w:rPr>
        <w:t xml:space="preserve"> docentes; tríade </w:t>
      </w:r>
      <w:proofErr w:type="spellStart"/>
      <w:r w:rsidR="00FD59B7" w:rsidRPr="00FD59B7">
        <w:rPr>
          <w:rFonts w:ascii="Arial" w:eastAsia="Arial" w:hAnsi="Arial"/>
          <w:lang w:val="es-AR"/>
        </w:rPr>
        <w:t>hermenêutica</w:t>
      </w:r>
      <w:proofErr w:type="spellEnd"/>
      <w:r w:rsidR="00FD59B7" w:rsidRPr="00FD59B7">
        <w:rPr>
          <w:rFonts w:ascii="Arial" w:eastAsia="Arial" w:hAnsi="Arial"/>
          <w:lang w:val="es-AR"/>
        </w:rPr>
        <w:t xml:space="preserve">; </w:t>
      </w:r>
      <w:proofErr w:type="spellStart"/>
      <w:r w:rsidR="00FD59B7" w:rsidRPr="00FD59B7">
        <w:rPr>
          <w:rFonts w:ascii="Arial" w:eastAsia="Arial" w:hAnsi="Arial"/>
          <w:lang w:val="es-AR"/>
        </w:rPr>
        <w:t>ensino</w:t>
      </w:r>
      <w:proofErr w:type="spellEnd"/>
      <w:r w:rsidR="00FD59B7" w:rsidRPr="00FD59B7">
        <w:rPr>
          <w:rFonts w:ascii="Arial" w:eastAsia="Arial" w:hAnsi="Arial"/>
          <w:lang w:val="es-AR"/>
        </w:rPr>
        <w:t xml:space="preserve"> superior</w:t>
      </w:r>
    </w:p>
    <w:p w14:paraId="3F480DF5" w14:textId="77777777" w:rsidR="00C749E0" w:rsidRPr="00414A02" w:rsidRDefault="00000000">
      <w:pPr>
        <w:spacing w:line="360" w:lineRule="auto"/>
        <w:rPr>
          <w:lang w:val="es-AR"/>
        </w:rPr>
      </w:pPr>
      <w:r w:rsidRPr="00414A02">
        <w:rPr>
          <w:rFonts w:ascii="Arial" w:eastAsia="Arial" w:hAnsi="Arial"/>
          <w:b/>
          <w:sz w:val="24"/>
          <w:lang w:val="es-AR"/>
        </w:rPr>
        <w:t>RESUMEN EXTENDIDO (mínimo 600 palabras – máximo 1500 palabras)</w:t>
      </w:r>
    </w:p>
    <w:p w14:paraId="4B024664" w14:textId="7729099A" w:rsidR="00FD59B7" w:rsidRPr="00FD59B7" w:rsidRDefault="00FD59B7" w:rsidP="00FD59B7">
      <w:pPr>
        <w:spacing w:line="360" w:lineRule="auto"/>
        <w:jc w:val="both"/>
        <w:rPr>
          <w:rFonts w:ascii="Arial" w:eastAsia="Arial" w:hAnsi="Arial"/>
          <w:sz w:val="24"/>
          <w:lang w:val="es-AR"/>
        </w:rPr>
      </w:pPr>
      <w:r w:rsidRPr="00FD59B7">
        <w:rPr>
          <w:rFonts w:ascii="Arial" w:eastAsia="Arial" w:hAnsi="Arial"/>
          <w:sz w:val="24"/>
          <w:lang w:val="es-AR"/>
        </w:rPr>
        <w:t>En el campo de la educación superior, la innovación educativa se ha consolidado como un eje prioritario en agendas institucionales, políticas públicas y discursos académicos. Sin embargo, esta centralidad no siempre se traduce en una problematización conceptual profunda. Con frecuencia, la innovación es asociada de manera directa con la incorporación de tecnologías digitales o con la adopción de metodologías activas, lo que tiende a reducir su alcance a una dimensión instrumental.</w:t>
      </w:r>
    </w:p>
    <w:p w14:paraId="315334E2" w14:textId="77777777" w:rsidR="00FD59B7" w:rsidRPr="00FD59B7" w:rsidRDefault="00FD59B7" w:rsidP="00FD59B7">
      <w:pPr>
        <w:spacing w:line="360" w:lineRule="auto"/>
        <w:jc w:val="both"/>
        <w:rPr>
          <w:rFonts w:ascii="Arial" w:eastAsia="Arial" w:hAnsi="Arial"/>
          <w:sz w:val="24"/>
          <w:lang w:val="es-AR"/>
        </w:rPr>
      </w:pPr>
      <w:r w:rsidRPr="00FD59B7">
        <w:rPr>
          <w:rFonts w:ascii="Arial" w:eastAsia="Arial" w:hAnsi="Arial"/>
          <w:sz w:val="24"/>
          <w:lang w:val="es-AR"/>
        </w:rPr>
        <w:t>Esta reducción resulta especialmente significativa en el contexto latinoamericano, donde las prácticas educativas se desarrollan en condiciones atravesadas por desigualdades estructurales, limitaciones en el acceso a recursos tecnológicos y tensiones vinculadas a las condiciones laborales docentes. En este escenario, las concepciones que los docentes construyen sobre la innovación no solo orientan sus prácticas, sino que también delimitan el horizonte de lo posible en términos pedagógicos.</w:t>
      </w:r>
    </w:p>
    <w:p w14:paraId="09D6C2AC" w14:textId="77777777" w:rsidR="00FD59B7" w:rsidRDefault="00FD59B7" w:rsidP="00FD59B7">
      <w:pPr>
        <w:spacing w:line="360" w:lineRule="auto"/>
        <w:jc w:val="both"/>
        <w:rPr>
          <w:rFonts w:ascii="Arial" w:eastAsia="Arial" w:hAnsi="Arial"/>
          <w:sz w:val="24"/>
          <w:lang w:val="es-AR"/>
        </w:rPr>
      </w:pPr>
    </w:p>
    <w:p w14:paraId="348F43CE" w14:textId="77777777" w:rsidR="00FD59B7" w:rsidRDefault="00FD59B7" w:rsidP="00FD59B7">
      <w:pPr>
        <w:spacing w:line="360" w:lineRule="auto"/>
        <w:jc w:val="both"/>
        <w:rPr>
          <w:rFonts w:ascii="Arial" w:eastAsia="Arial" w:hAnsi="Arial"/>
          <w:sz w:val="24"/>
          <w:lang w:val="es-AR"/>
        </w:rPr>
      </w:pPr>
    </w:p>
    <w:p w14:paraId="602091AC" w14:textId="0EF6FE87" w:rsidR="00FD59B7" w:rsidRPr="00FD59B7" w:rsidRDefault="00FD59B7" w:rsidP="00FD59B7">
      <w:pPr>
        <w:spacing w:line="360" w:lineRule="auto"/>
        <w:jc w:val="both"/>
        <w:rPr>
          <w:rFonts w:ascii="Arial" w:eastAsia="Arial" w:hAnsi="Arial"/>
          <w:sz w:val="24"/>
          <w:lang w:val="es-AR"/>
        </w:rPr>
      </w:pPr>
      <w:r w:rsidRPr="00FD59B7">
        <w:rPr>
          <w:rFonts w:ascii="Arial" w:eastAsia="Arial" w:hAnsi="Arial"/>
          <w:sz w:val="24"/>
          <w:lang w:val="es-AR"/>
        </w:rPr>
        <w:t>El presente trabajo tiene como objetivo analizar las concepciones de innovación educativa de docentes universitarios de seis países latinoamericanos, a partir de un estudio cuantitativo, y reinterpretar estos resultados desde la tríada hermenéutica. Este enfoque permite desplazar la mirada desde definiciones centradas en lo técnico hacia una comprensión que integra dimensiones pedagógicas, relacionales y culturales.</w:t>
      </w:r>
    </w:p>
    <w:p w14:paraId="6CB03F13" w14:textId="77777777" w:rsidR="00FD59B7" w:rsidRPr="00FD59B7" w:rsidRDefault="00FD59B7" w:rsidP="00FD59B7">
      <w:pPr>
        <w:spacing w:line="360" w:lineRule="auto"/>
        <w:jc w:val="both"/>
        <w:rPr>
          <w:rFonts w:ascii="Arial" w:eastAsia="Arial" w:hAnsi="Arial"/>
          <w:sz w:val="24"/>
          <w:lang w:val="es-AR"/>
        </w:rPr>
      </w:pPr>
      <w:r w:rsidRPr="00FD59B7">
        <w:rPr>
          <w:rFonts w:ascii="Arial" w:eastAsia="Arial" w:hAnsi="Arial"/>
          <w:sz w:val="24"/>
          <w:lang w:val="es-AR"/>
        </w:rPr>
        <w:t>Marco teórico</w:t>
      </w:r>
    </w:p>
    <w:p w14:paraId="4070A387" w14:textId="77777777" w:rsidR="00FD59B7" w:rsidRPr="00FD59B7" w:rsidRDefault="00FD59B7" w:rsidP="00FD59B7">
      <w:pPr>
        <w:spacing w:line="360" w:lineRule="auto"/>
        <w:jc w:val="both"/>
        <w:rPr>
          <w:rFonts w:ascii="Arial" w:eastAsia="Arial" w:hAnsi="Arial"/>
          <w:sz w:val="24"/>
          <w:lang w:val="es-AR"/>
        </w:rPr>
      </w:pPr>
      <w:r w:rsidRPr="00FD59B7">
        <w:rPr>
          <w:rFonts w:ascii="Arial" w:eastAsia="Arial" w:hAnsi="Arial"/>
          <w:sz w:val="24"/>
          <w:lang w:val="es-AR"/>
        </w:rPr>
        <w:t>La literatura especializada muestra que la innovación educativa constituye un concepto en disputa. Por un lado, se encuentran perspectivas que la definen en términos de incorporación de tecnologías o actualización metodológica. Por otro, enfoques más amplios sostienen que innovar implica una transformación cultural que afecta las prácticas, las creencias y las estructuras institucionales.</w:t>
      </w:r>
    </w:p>
    <w:p w14:paraId="3C3E53FA" w14:textId="77777777" w:rsidR="00FD59B7" w:rsidRPr="00FD59B7" w:rsidRDefault="00FD59B7" w:rsidP="00FD59B7">
      <w:pPr>
        <w:spacing w:line="360" w:lineRule="auto"/>
        <w:jc w:val="both"/>
        <w:rPr>
          <w:rFonts w:ascii="Arial" w:eastAsia="Arial" w:hAnsi="Arial"/>
          <w:sz w:val="24"/>
          <w:lang w:val="es-AR"/>
        </w:rPr>
      </w:pPr>
      <w:r w:rsidRPr="00FD59B7">
        <w:rPr>
          <w:rFonts w:ascii="Arial" w:eastAsia="Arial" w:hAnsi="Arial"/>
          <w:sz w:val="24"/>
          <w:lang w:val="es-AR"/>
        </w:rPr>
        <w:t>En América Latina, diversos estudios han señalado la persistencia de una tendencia a equiparar innovación con tecnología, lo que produce un desplazamiento de las dimensiones pedagógicas hacia un segundo plano. Esta situación ha sido advertida como una limitación para el desarrollo de propuestas educativas que promuevan cambios significativos en los procesos de enseñanza y aprendizaje.</w:t>
      </w:r>
    </w:p>
    <w:p w14:paraId="3E2860CF" w14:textId="77777777" w:rsidR="00FD59B7" w:rsidRPr="00FD59B7" w:rsidRDefault="00FD59B7" w:rsidP="00FD59B7">
      <w:pPr>
        <w:spacing w:line="360" w:lineRule="auto"/>
        <w:jc w:val="both"/>
        <w:rPr>
          <w:rFonts w:ascii="Arial" w:eastAsia="Arial" w:hAnsi="Arial"/>
          <w:sz w:val="24"/>
          <w:lang w:val="es-AR"/>
        </w:rPr>
      </w:pPr>
      <w:r w:rsidRPr="00FD59B7">
        <w:rPr>
          <w:rFonts w:ascii="Arial" w:eastAsia="Arial" w:hAnsi="Arial"/>
          <w:sz w:val="24"/>
          <w:lang w:val="es-AR"/>
        </w:rPr>
        <w:t>En este contexto, la tríada hermenéutica —emancipación, alteridad y subjetividad contemporánea— se presenta como una herramienta conceptual que permite complejizar el análisis. La dimensión de la emancipación remite a la capacidad de la educación para promover autonomía, pensamiento crítico y transformación social. La alteridad introduce la centralidad del vínculo pedagógico y el reconocimiento del otro como sujeto activo en el proceso educativo. Por su parte, la subjetividad contemporánea refiere a las condiciones culturales actuales, atravesadas por la digitalización, la circulación acelerada de información y la reconfiguración de las formas de atención y producción de sentido.</w:t>
      </w:r>
    </w:p>
    <w:p w14:paraId="7836C729" w14:textId="77777777" w:rsidR="00FD59B7" w:rsidRDefault="00FD59B7" w:rsidP="00FD59B7">
      <w:pPr>
        <w:spacing w:line="360" w:lineRule="auto"/>
        <w:jc w:val="both"/>
        <w:rPr>
          <w:rFonts w:ascii="Arial" w:eastAsia="Arial" w:hAnsi="Arial"/>
          <w:sz w:val="24"/>
          <w:lang w:val="es-AR"/>
        </w:rPr>
      </w:pPr>
    </w:p>
    <w:p w14:paraId="155C21A9" w14:textId="77777777" w:rsidR="00FD59B7" w:rsidRDefault="00FD59B7" w:rsidP="00FD59B7">
      <w:pPr>
        <w:spacing w:line="360" w:lineRule="auto"/>
        <w:jc w:val="both"/>
        <w:rPr>
          <w:rFonts w:ascii="Arial" w:eastAsia="Arial" w:hAnsi="Arial"/>
          <w:sz w:val="24"/>
          <w:lang w:val="es-AR"/>
        </w:rPr>
      </w:pPr>
    </w:p>
    <w:p w14:paraId="647013A3" w14:textId="77777777" w:rsidR="00FD59B7" w:rsidRDefault="00FD59B7" w:rsidP="00FD59B7">
      <w:pPr>
        <w:spacing w:line="360" w:lineRule="auto"/>
        <w:jc w:val="both"/>
        <w:rPr>
          <w:rFonts w:ascii="Arial" w:eastAsia="Arial" w:hAnsi="Arial"/>
          <w:sz w:val="24"/>
          <w:lang w:val="es-AR"/>
        </w:rPr>
      </w:pPr>
    </w:p>
    <w:p w14:paraId="2E16A783" w14:textId="7C625BFE" w:rsidR="00FD59B7" w:rsidRPr="00FD59B7" w:rsidRDefault="00FD59B7" w:rsidP="00FD59B7">
      <w:pPr>
        <w:spacing w:line="360" w:lineRule="auto"/>
        <w:jc w:val="both"/>
        <w:rPr>
          <w:rFonts w:ascii="Arial" w:eastAsia="Arial" w:hAnsi="Arial"/>
          <w:sz w:val="24"/>
          <w:lang w:val="es-AR"/>
        </w:rPr>
      </w:pPr>
      <w:r w:rsidRPr="00FD59B7">
        <w:rPr>
          <w:rFonts w:ascii="Arial" w:eastAsia="Arial" w:hAnsi="Arial"/>
          <w:sz w:val="24"/>
          <w:lang w:val="es-AR"/>
        </w:rPr>
        <w:t>La articulación de estas dimensiones permite analizar la innovación no solo en términos de medios o recursos, sino en relación con sus finalidades, sus modos de relación y sus condiciones de posibilidad.</w:t>
      </w:r>
    </w:p>
    <w:p w14:paraId="48D30C0F" w14:textId="77777777" w:rsidR="00FD59B7" w:rsidRPr="00FD59B7" w:rsidRDefault="00FD59B7" w:rsidP="00FD59B7">
      <w:pPr>
        <w:spacing w:line="360" w:lineRule="auto"/>
        <w:jc w:val="both"/>
        <w:rPr>
          <w:rFonts w:ascii="Arial" w:eastAsia="Arial" w:hAnsi="Arial"/>
          <w:sz w:val="24"/>
          <w:lang w:val="es-AR"/>
        </w:rPr>
      </w:pPr>
      <w:r w:rsidRPr="00FD59B7">
        <w:rPr>
          <w:rFonts w:ascii="Arial" w:eastAsia="Arial" w:hAnsi="Arial"/>
          <w:sz w:val="24"/>
          <w:lang w:val="es-AR"/>
        </w:rPr>
        <w:t>Metodología</w:t>
      </w:r>
    </w:p>
    <w:p w14:paraId="63826720" w14:textId="77777777" w:rsidR="00FD59B7" w:rsidRPr="00FD59B7" w:rsidRDefault="00FD59B7" w:rsidP="00FD59B7">
      <w:pPr>
        <w:spacing w:line="360" w:lineRule="auto"/>
        <w:jc w:val="both"/>
        <w:rPr>
          <w:rFonts w:ascii="Arial" w:eastAsia="Arial" w:hAnsi="Arial"/>
          <w:sz w:val="24"/>
          <w:lang w:val="es-AR"/>
        </w:rPr>
      </w:pPr>
      <w:r w:rsidRPr="00FD59B7">
        <w:rPr>
          <w:rFonts w:ascii="Arial" w:eastAsia="Arial" w:hAnsi="Arial"/>
          <w:sz w:val="24"/>
          <w:lang w:val="es-AR"/>
        </w:rPr>
        <w:t>El estudio se desarrolló bajo un enfoque cuantitativo de tipo descriptivo-comparativo. La muestra estuvo compuesta por 431 docentes universitarios de seis países latinoamericanos: Argentina, Bolivia, Colombia, Honduras, México y Panamá. La selección fue de carácter no probabilístico por conveniencia, considerando como criterio de inclusión el desempeño docente en educación superior.</w:t>
      </w:r>
    </w:p>
    <w:p w14:paraId="1CBB2200" w14:textId="77777777" w:rsidR="00FD59B7" w:rsidRPr="00FD59B7" w:rsidRDefault="00FD59B7" w:rsidP="00FD59B7">
      <w:pPr>
        <w:spacing w:line="360" w:lineRule="auto"/>
        <w:jc w:val="both"/>
        <w:rPr>
          <w:rFonts w:ascii="Arial" w:eastAsia="Arial" w:hAnsi="Arial"/>
          <w:sz w:val="24"/>
          <w:lang w:val="es-AR"/>
        </w:rPr>
      </w:pPr>
      <w:r w:rsidRPr="00FD59B7">
        <w:rPr>
          <w:rFonts w:ascii="Arial" w:eastAsia="Arial" w:hAnsi="Arial"/>
          <w:sz w:val="24"/>
          <w:lang w:val="es-AR"/>
        </w:rPr>
        <w:t>Se utilizó un cuestionario estructurado que relevó información sobre concepciones de innovación educativa, prácticas pedagógicas, uso de tecnologías —incluida la inteligencia artificial— y percepciones sobre barreras institucionales. El instrumento fue validado por juicio de expertos y presentó un nivel adecuado de confiabilidad (α = 0.86).</w:t>
      </w:r>
    </w:p>
    <w:p w14:paraId="521418A4" w14:textId="77777777" w:rsidR="00FD59B7" w:rsidRPr="00FD59B7" w:rsidRDefault="00FD59B7" w:rsidP="00FD59B7">
      <w:pPr>
        <w:spacing w:line="360" w:lineRule="auto"/>
        <w:jc w:val="both"/>
        <w:rPr>
          <w:rFonts w:ascii="Arial" w:eastAsia="Arial" w:hAnsi="Arial"/>
          <w:sz w:val="24"/>
          <w:lang w:val="es-AR"/>
        </w:rPr>
      </w:pPr>
      <w:r w:rsidRPr="00FD59B7">
        <w:rPr>
          <w:rFonts w:ascii="Arial" w:eastAsia="Arial" w:hAnsi="Arial"/>
          <w:sz w:val="24"/>
          <w:lang w:val="es-AR"/>
        </w:rPr>
        <w:t>El análisis de los datos se realizó mediante estadística descriptiva, a partir del cálculo de frecuencias y porcentajes, y se complementó con pruebas de chi-cuadrado para identificar diferencias significativas entre países. En una segunda instancia, los resultados fueron reinterpretados a partir de las categorías de la tríada hermenéutica.</w:t>
      </w:r>
    </w:p>
    <w:p w14:paraId="3487D55F" w14:textId="77777777" w:rsidR="00FD59B7" w:rsidRPr="00FD59B7" w:rsidRDefault="00FD59B7" w:rsidP="00FD59B7">
      <w:pPr>
        <w:spacing w:line="360" w:lineRule="auto"/>
        <w:jc w:val="both"/>
        <w:rPr>
          <w:rFonts w:ascii="Arial" w:eastAsia="Arial" w:hAnsi="Arial"/>
          <w:sz w:val="24"/>
          <w:lang w:val="es-AR"/>
        </w:rPr>
      </w:pPr>
      <w:r w:rsidRPr="00FD59B7">
        <w:rPr>
          <w:rFonts w:ascii="Arial" w:eastAsia="Arial" w:hAnsi="Arial"/>
          <w:sz w:val="24"/>
          <w:lang w:val="es-AR"/>
        </w:rPr>
        <w:t>Resultados</w:t>
      </w:r>
    </w:p>
    <w:p w14:paraId="5A117D32" w14:textId="77777777" w:rsidR="00FD59B7" w:rsidRPr="00FD59B7" w:rsidRDefault="00FD59B7" w:rsidP="00FD59B7">
      <w:pPr>
        <w:spacing w:line="360" w:lineRule="auto"/>
        <w:jc w:val="both"/>
        <w:rPr>
          <w:rFonts w:ascii="Arial" w:eastAsia="Arial" w:hAnsi="Arial"/>
          <w:sz w:val="24"/>
          <w:lang w:val="es-AR"/>
        </w:rPr>
      </w:pPr>
      <w:r w:rsidRPr="00FD59B7">
        <w:rPr>
          <w:rFonts w:ascii="Arial" w:eastAsia="Arial" w:hAnsi="Arial"/>
          <w:sz w:val="24"/>
          <w:lang w:val="es-AR"/>
        </w:rPr>
        <w:t>Los resultados evidencian una clara predominancia de concepciones instrumentales de la innovación educativa. La mayoría de los docentes asocia la innovación con la implementación de nuevas metodologías (62,7%) y con el uso de tecnologías digitales (51,5%). En contraste, solo un 20,9% vincula la innovación con una transformación pedagógica profunda.</w:t>
      </w:r>
    </w:p>
    <w:p w14:paraId="47ADDACF" w14:textId="77777777" w:rsidR="00FD59B7" w:rsidRDefault="00FD59B7" w:rsidP="00FD59B7">
      <w:pPr>
        <w:spacing w:line="360" w:lineRule="auto"/>
        <w:jc w:val="both"/>
        <w:rPr>
          <w:rFonts w:ascii="Arial" w:eastAsia="Arial" w:hAnsi="Arial"/>
          <w:sz w:val="24"/>
          <w:lang w:val="es-AR"/>
        </w:rPr>
      </w:pPr>
      <w:r w:rsidRPr="00FD59B7">
        <w:rPr>
          <w:rFonts w:ascii="Arial" w:eastAsia="Arial" w:hAnsi="Arial"/>
          <w:sz w:val="24"/>
          <w:lang w:val="es-AR"/>
        </w:rPr>
        <w:t xml:space="preserve">En cuanto a las prácticas, se observa una alta adopción de tecnologías de la información y la comunicación (66,4%), así como de estrategias como el aprendizaje basado en </w:t>
      </w:r>
    </w:p>
    <w:p w14:paraId="44CF7B33" w14:textId="77777777" w:rsidR="00FD59B7" w:rsidRDefault="00FD59B7" w:rsidP="00FD59B7">
      <w:pPr>
        <w:spacing w:line="360" w:lineRule="auto"/>
        <w:jc w:val="both"/>
        <w:rPr>
          <w:rFonts w:ascii="Arial" w:eastAsia="Arial" w:hAnsi="Arial"/>
          <w:sz w:val="24"/>
          <w:lang w:val="es-AR"/>
        </w:rPr>
      </w:pPr>
    </w:p>
    <w:p w14:paraId="7858A566" w14:textId="77777777" w:rsidR="00FD59B7" w:rsidRDefault="00FD59B7" w:rsidP="00FD59B7">
      <w:pPr>
        <w:spacing w:line="360" w:lineRule="auto"/>
        <w:jc w:val="both"/>
        <w:rPr>
          <w:rFonts w:ascii="Arial" w:eastAsia="Arial" w:hAnsi="Arial"/>
          <w:sz w:val="24"/>
          <w:lang w:val="es-AR"/>
        </w:rPr>
      </w:pPr>
    </w:p>
    <w:p w14:paraId="6BFCBF47" w14:textId="66B63D40" w:rsidR="00FD59B7" w:rsidRPr="00FD59B7" w:rsidRDefault="00FD59B7" w:rsidP="00FD59B7">
      <w:pPr>
        <w:spacing w:line="360" w:lineRule="auto"/>
        <w:jc w:val="both"/>
        <w:rPr>
          <w:rFonts w:ascii="Arial" w:eastAsia="Arial" w:hAnsi="Arial"/>
          <w:sz w:val="24"/>
          <w:lang w:val="es-AR"/>
        </w:rPr>
      </w:pPr>
      <w:r w:rsidRPr="00FD59B7">
        <w:rPr>
          <w:rFonts w:ascii="Arial" w:eastAsia="Arial" w:hAnsi="Arial"/>
          <w:sz w:val="24"/>
          <w:lang w:val="es-AR"/>
        </w:rPr>
        <w:t>proyectos (61,3%) y el aula invertida (53,0%). El uso de inteligencia artificial aparece en el 24,7% de los casos, lo que indica una incorporación incipiente pero significativa.</w:t>
      </w:r>
    </w:p>
    <w:p w14:paraId="5A42F802" w14:textId="77777777" w:rsidR="00FD59B7" w:rsidRPr="00FD59B7" w:rsidRDefault="00FD59B7" w:rsidP="00FD59B7">
      <w:pPr>
        <w:spacing w:line="360" w:lineRule="auto"/>
        <w:jc w:val="both"/>
        <w:rPr>
          <w:rFonts w:ascii="Arial" w:eastAsia="Arial" w:hAnsi="Arial"/>
          <w:sz w:val="24"/>
          <w:lang w:val="es-AR"/>
        </w:rPr>
      </w:pPr>
      <w:r w:rsidRPr="00FD59B7">
        <w:rPr>
          <w:rFonts w:ascii="Arial" w:eastAsia="Arial" w:hAnsi="Arial"/>
          <w:sz w:val="24"/>
          <w:lang w:val="es-AR"/>
        </w:rPr>
        <w:t>Respecto de las barreras, las más señaladas son la falta de tiempo para la planificación (51,0%) y la falta de recursos tecnológicos (51,8%), seguidas por limitaciones institucionales (40,1%). La resistencia al cambio presenta un valor menor (30,8%), lo que sugiere que los obstáculos a la innovación se vinculan más con condiciones estructurales que con actitudes individuales.</w:t>
      </w:r>
    </w:p>
    <w:p w14:paraId="5631503F" w14:textId="77777777" w:rsidR="00FD59B7" w:rsidRPr="00FD59B7" w:rsidRDefault="00FD59B7" w:rsidP="00FD59B7">
      <w:pPr>
        <w:spacing w:line="360" w:lineRule="auto"/>
        <w:jc w:val="both"/>
        <w:rPr>
          <w:rFonts w:ascii="Arial" w:eastAsia="Arial" w:hAnsi="Arial"/>
          <w:sz w:val="24"/>
          <w:lang w:val="es-AR"/>
        </w:rPr>
      </w:pPr>
      <w:r w:rsidRPr="00FD59B7">
        <w:rPr>
          <w:rFonts w:ascii="Arial" w:eastAsia="Arial" w:hAnsi="Arial"/>
          <w:sz w:val="24"/>
          <w:lang w:val="es-AR"/>
        </w:rPr>
        <w:t>En términos de autopercepción, la mayoría de los docentes se considera innovadora “en cierta medida” (59,8%), mientras que solo un 22,0% se percibe como innovador “en gran medida”, lo que indica una valoración moderada de las propias prácticas.</w:t>
      </w:r>
    </w:p>
    <w:p w14:paraId="09C857EC" w14:textId="77777777" w:rsidR="00FD59B7" w:rsidRPr="00FD59B7" w:rsidRDefault="00FD59B7" w:rsidP="00FD59B7">
      <w:pPr>
        <w:spacing w:line="360" w:lineRule="auto"/>
        <w:jc w:val="both"/>
        <w:rPr>
          <w:rFonts w:ascii="Arial" w:eastAsia="Arial" w:hAnsi="Arial"/>
          <w:sz w:val="24"/>
          <w:lang w:val="es-AR"/>
        </w:rPr>
      </w:pPr>
      <w:r w:rsidRPr="00FD59B7">
        <w:rPr>
          <w:rFonts w:ascii="Arial" w:eastAsia="Arial" w:hAnsi="Arial"/>
          <w:sz w:val="24"/>
          <w:lang w:val="es-AR"/>
        </w:rPr>
        <w:t>Discusión</w:t>
      </w:r>
    </w:p>
    <w:p w14:paraId="65E1AC48" w14:textId="77777777" w:rsidR="00FD59B7" w:rsidRPr="00FD59B7" w:rsidRDefault="00FD59B7" w:rsidP="00FD59B7">
      <w:pPr>
        <w:spacing w:line="360" w:lineRule="auto"/>
        <w:jc w:val="both"/>
        <w:rPr>
          <w:rFonts w:ascii="Arial" w:eastAsia="Arial" w:hAnsi="Arial"/>
          <w:sz w:val="24"/>
          <w:lang w:val="es-AR"/>
        </w:rPr>
      </w:pPr>
      <w:r w:rsidRPr="00FD59B7">
        <w:rPr>
          <w:rFonts w:ascii="Arial" w:eastAsia="Arial" w:hAnsi="Arial"/>
          <w:sz w:val="24"/>
          <w:lang w:val="es-AR"/>
        </w:rPr>
        <w:t>Los resultados permiten identificar una tensión entre las concepciones predominantes de innovación y aquellas perspectivas que la entienden como un proceso de transformación pedagógica. La centralidad de las tecnologías y de las metodologías sugiere que la innovación es comprendida principalmente como un conjunto de recursos o estrategias, más que como una redefinición de los sentidos de la enseñanza.</w:t>
      </w:r>
    </w:p>
    <w:p w14:paraId="1D9B452A" w14:textId="77777777" w:rsidR="00FD59B7" w:rsidRPr="00FD59B7" w:rsidRDefault="00FD59B7" w:rsidP="00FD59B7">
      <w:pPr>
        <w:spacing w:line="360" w:lineRule="auto"/>
        <w:jc w:val="both"/>
        <w:rPr>
          <w:rFonts w:ascii="Arial" w:eastAsia="Arial" w:hAnsi="Arial"/>
          <w:sz w:val="24"/>
          <w:lang w:val="es-AR"/>
        </w:rPr>
      </w:pPr>
      <w:r w:rsidRPr="00FD59B7">
        <w:rPr>
          <w:rFonts w:ascii="Arial" w:eastAsia="Arial" w:hAnsi="Arial"/>
          <w:sz w:val="24"/>
          <w:lang w:val="es-AR"/>
        </w:rPr>
        <w:t>Desde la tríada hermenéutica, esta tendencia puede interpretarse como una limitada integración de dimensiones fundamentales. En relación con la emancipación, las concepciones relevadas no evidencian una vinculación explícita entre innovación y formación crítica o transformación social. La innovación aparece, en muchos casos, desvinculada de finalidades educativas más amplias.</w:t>
      </w:r>
    </w:p>
    <w:p w14:paraId="68B90B29" w14:textId="593B8D54" w:rsidR="00FD59B7" w:rsidRPr="00FD59B7" w:rsidRDefault="00FD59B7" w:rsidP="00FD59B7">
      <w:pPr>
        <w:spacing w:line="360" w:lineRule="auto"/>
        <w:jc w:val="both"/>
        <w:rPr>
          <w:rFonts w:ascii="Arial" w:eastAsia="Arial" w:hAnsi="Arial"/>
          <w:sz w:val="24"/>
          <w:lang w:val="es-AR"/>
        </w:rPr>
      </w:pPr>
      <w:r w:rsidRPr="00FD59B7">
        <w:rPr>
          <w:rFonts w:ascii="Arial" w:eastAsia="Arial" w:hAnsi="Arial"/>
          <w:sz w:val="24"/>
          <w:lang w:val="es-AR"/>
        </w:rPr>
        <w:t>En cuanto a la alteridad, si bien algunas metodologías promovidas —como el aprendizaje basado en proyectos— implican formas de participació</w:t>
      </w:r>
      <w:r>
        <w:rPr>
          <w:rFonts w:ascii="Arial" w:eastAsia="Arial" w:hAnsi="Arial"/>
          <w:sz w:val="24"/>
          <w:lang w:val="es-AR"/>
        </w:rPr>
        <w:t>n</w:t>
      </w:r>
      <w:r w:rsidRPr="00FD59B7">
        <w:rPr>
          <w:rFonts w:ascii="Arial" w:eastAsia="Arial" w:hAnsi="Arial"/>
          <w:sz w:val="24"/>
          <w:lang w:val="es-AR"/>
        </w:rPr>
        <w:t>, no necesariamente se traducen en una reflexión sobre el vínculo pedagógico. La relación con el estudiante no emerge como un eje central en las definiciones de innovación.</w:t>
      </w:r>
    </w:p>
    <w:p w14:paraId="32D9F980" w14:textId="77777777" w:rsidR="00FD59B7" w:rsidRDefault="00FD59B7" w:rsidP="00FD59B7">
      <w:pPr>
        <w:spacing w:line="360" w:lineRule="auto"/>
        <w:jc w:val="both"/>
        <w:rPr>
          <w:rFonts w:ascii="Arial" w:eastAsia="Arial" w:hAnsi="Arial"/>
          <w:sz w:val="24"/>
          <w:lang w:val="es-AR"/>
        </w:rPr>
      </w:pPr>
    </w:p>
    <w:p w14:paraId="5431AEF4" w14:textId="77777777" w:rsidR="00FD59B7" w:rsidRDefault="00FD59B7" w:rsidP="00FD59B7">
      <w:pPr>
        <w:spacing w:line="360" w:lineRule="auto"/>
        <w:jc w:val="both"/>
        <w:rPr>
          <w:rFonts w:ascii="Arial" w:eastAsia="Arial" w:hAnsi="Arial"/>
          <w:sz w:val="24"/>
          <w:lang w:val="es-AR"/>
        </w:rPr>
      </w:pPr>
    </w:p>
    <w:p w14:paraId="1DEE18DC" w14:textId="6F45649C" w:rsidR="00FD59B7" w:rsidRPr="00FD59B7" w:rsidRDefault="00FD59B7" w:rsidP="00FD59B7">
      <w:pPr>
        <w:spacing w:line="360" w:lineRule="auto"/>
        <w:jc w:val="both"/>
        <w:rPr>
          <w:rFonts w:ascii="Arial" w:eastAsia="Arial" w:hAnsi="Arial"/>
          <w:sz w:val="24"/>
          <w:lang w:val="es-AR"/>
        </w:rPr>
      </w:pPr>
      <w:r w:rsidRPr="00FD59B7">
        <w:rPr>
          <w:rFonts w:ascii="Arial" w:eastAsia="Arial" w:hAnsi="Arial"/>
          <w:sz w:val="24"/>
          <w:lang w:val="es-AR"/>
        </w:rPr>
        <w:t>Por su parte, la dimensión de la subjetividad contemporánea introduce una tensión particular. Si bien las tecnologías digitales y la inteligencia artificial son incorporadas en las prácticas, su uso no siempre implica una problematización de las transformaciones culturales que estas conllevan. En este sentido, la innovación corre el riesgo de limitarse a la adopción de herramientas sin cuestionar los modos en que estas reconfiguran los procesos de aprendizaje.</w:t>
      </w:r>
    </w:p>
    <w:p w14:paraId="523C7827" w14:textId="77777777" w:rsidR="00FD59B7" w:rsidRPr="00FD59B7" w:rsidRDefault="00FD59B7" w:rsidP="00FD59B7">
      <w:pPr>
        <w:spacing w:line="360" w:lineRule="auto"/>
        <w:jc w:val="both"/>
        <w:rPr>
          <w:rFonts w:ascii="Arial" w:eastAsia="Arial" w:hAnsi="Arial"/>
          <w:sz w:val="24"/>
          <w:lang w:val="es-AR"/>
        </w:rPr>
      </w:pPr>
      <w:r w:rsidRPr="00FD59B7">
        <w:rPr>
          <w:rFonts w:ascii="Arial" w:eastAsia="Arial" w:hAnsi="Arial"/>
          <w:sz w:val="24"/>
          <w:lang w:val="es-AR"/>
        </w:rPr>
        <w:t>Asimismo, los resultados refuerzan la idea de que las limitaciones para innovar son principalmente de carácter estructural. La falta de tiempo, recursos y apoyo institucional condiciona la posibilidad de desarrollar prácticas pedagógicas más complejas, lo que contribuye a la persistencia de enfoques instrumentales.</w:t>
      </w:r>
    </w:p>
    <w:p w14:paraId="74DA4DE6" w14:textId="77777777" w:rsidR="00FD59B7" w:rsidRPr="00FD59B7" w:rsidRDefault="00FD59B7" w:rsidP="00FD59B7">
      <w:pPr>
        <w:spacing w:line="360" w:lineRule="auto"/>
        <w:jc w:val="both"/>
        <w:rPr>
          <w:rFonts w:ascii="Arial" w:eastAsia="Arial" w:hAnsi="Arial"/>
          <w:sz w:val="24"/>
          <w:lang w:val="es-AR"/>
        </w:rPr>
      </w:pPr>
      <w:r w:rsidRPr="00FD59B7">
        <w:rPr>
          <w:rFonts w:ascii="Arial" w:eastAsia="Arial" w:hAnsi="Arial"/>
          <w:sz w:val="24"/>
          <w:lang w:val="es-AR"/>
        </w:rPr>
        <w:t>En este marco, la tríada hermenéutica permite no solo describir estas limitaciones, sino también ofrecer un horizonte interpretativo que articula finalidades, relaciones y condiciones culturales. Desde esta perspectiva, la innovación educativa puede ser pensada como un proceso situado que requiere no solo recursos y metodologías, sino también marcos de sentido que orienten la práctica docente.</w:t>
      </w:r>
    </w:p>
    <w:p w14:paraId="156C7504" w14:textId="77777777" w:rsidR="00C749E0" w:rsidRPr="00414A02" w:rsidRDefault="00000000">
      <w:pPr>
        <w:spacing w:line="360" w:lineRule="auto"/>
        <w:rPr>
          <w:lang w:val="es-AR"/>
        </w:rPr>
      </w:pPr>
      <w:r w:rsidRPr="00414A02">
        <w:rPr>
          <w:rFonts w:ascii="Arial" w:eastAsia="Arial" w:hAnsi="Arial"/>
          <w:b/>
          <w:sz w:val="24"/>
          <w:lang w:val="es-AR"/>
        </w:rPr>
        <w:t>REFERENCIAS</w:t>
      </w:r>
    </w:p>
    <w:p w14:paraId="6711074D" w14:textId="7990FAF1" w:rsidR="00FD59B7" w:rsidRPr="00FD59B7" w:rsidRDefault="00FD59B7" w:rsidP="00FD59B7">
      <w:pPr>
        <w:spacing w:line="360" w:lineRule="auto"/>
        <w:rPr>
          <w:rFonts w:ascii="Arial" w:eastAsia="Arial" w:hAnsi="Arial"/>
          <w:sz w:val="24"/>
          <w:lang w:val="es-AR"/>
        </w:rPr>
      </w:pPr>
      <w:proofErr w:type="spellStart"/>
      <w:r w:rsidRPr="00FD59B7">
        <w:rPr>
          <w:rFonts w:ascii="Arial" w:eastAsia="Arial" w:hAnsi="Arial"/>
          <w:sz w:val="24"/>
          <w:lang w:val="es-AR"/>
        </w:rPr>
        <w:t>Macanchí</w:t>
      </w:r>
      <w:proofErr w:type="spellEnd"/>
      <w:r w:rsidRPr="00FD59B7">
        <w:rPr>
          <w:rFonts w:ascii="Arial" w:eastAsia="Arial" w:hAnsi="Arial"/>
          <w:sz w:val="24"/>
          <w:lang w:val="es-AR"/>
        </w:rPr>
        <w:t xml:space="preserve"> Pico, M. L., Orozco Castillo, B. M., &amp; Campoverde Encalada, M. A. (2020). Innovación educativa, pedagógica y didáctica. Revista Universidad y Sociedad, 12(1), 396–406.</w:t>
      </w:r>
    </w:p>
    <w:p w14:paraId="1351F0C3" w14:textId="77777777" w:rsidR="00FD59B7" w:rsidRPr="00FD59B7" w:rsidRDefault="00FD59B7" w:rsidP="00FD59B7">
      <w:pPr>
        <w:spacing w:line="360" w:lineRule="auto"/>
        <w:rPr>
          <w:rFonts w:ascii="Arial" w:eastAsia="Arial" w:hAnsi="Arial"/>
          <w:sz w:val="24"/>
          <w:lang w:val="es-AR"/>
        </w:rPr>
      </w:pPr>
      <w:r w:rsidRPr="00FD59B7">
        <w:rPr>
          <w:rFonts w:ascii="Arial" w:eastAsia="Arial" w:hAnsi="Arial"/>
          <w:sz w:val="24"/>
          <w:lang w:val="es-AR"/>
        </w:rPr>
        <w:t>Orrego Tapia, V. (2022). Innovación educativa: propuesta conceptual. Revista Ensayos Pedagógicos, 17(2), 95–116.</w:t>
      </w:r>
    </w:p>
    <w:p w14:paraId="498E2FDF" w14:textId="77777777" w:rsidR="00FD59B7" w:rsidRPr="00FD59B7" w:rsidRDefault="00FD59B7" w:rsidP="00FD59B7">
      <w:pPr>
        <w:spacing w:line="360" w:lineRule="auto"/>
        <w:rPr>
          <w:rFonts w:ascii="Arial" w:eastAsia="Arial" w:hAnsi="Arial"/>
          <w:sz w:val="24"/>
          <w:lang w:val="es-AR"/>
        </w:rPr>
      </w:pPr>
    </w:p>
    <w:p w14:paraId="14E9E64C" w14:textId="77777777" w:rsidR="00FD59B7" w:rsidRDefault="00FD59B7" w:rsidP="00FD59B7">
      <w:pPr>
        <w:spacing w:line="360" w:lineRule="auto"/>
        <w:rPr>
          <w:rFonts w:ascii="Arial" w:eastAsia="Arial" w:hAnsi="Arial"/>
          <w:sz w:val="24"/>
          <w:lang w:val="es-AR"/>
        </w:rPr>
      </w:pPr>
    </w:p>
    <w:p w14:paraId="3D0F733F" w14:textId="77777777" w:rsidR="00FD59B7" w:rsidRDefault="00FD59B7" w:rsidP="00FD59B7">
      <w:pPr>
        <w:spacing w:line="360" w:lineRule="auto"/>
        <w:rPr>
          <w:rFonts w:ascii="Arial" w:eastAsia="Arial" w:hAnsi="Arial"/>
          <w:sz w:val="24"/>
          <w:lang w:val="es-AR"/>
        </w:rPr>
      </w:pPr>
    </w:p>
    <w:p w14:paraId="6887CFC1" w14:textId="77777777" w:rsidR="00FD59B7" w:rsidRDefault="00FD59B7" w:rsidP="00FD59B7">
      <w:pPr>
        <w:spacing w:line="360" w:lineRule="auto"/>
        <w:rPr>
          <w:rFonts w:ascii="Arial" w:eastAsia="Arial" w:hAnsi="Arial"/>
          <w:sz w:val="24"/>
          <w:lang w:val="es-AR"/>
        </w:rPr>
      </w:pPr>
    </w:p>
    <w:p w14:paraId="43FB3BCC" w14:textId="77777777" w:rsidR="00FD59B7" w:rsidRDefault="00FD59B7" w:rsidP="00FD59B7">
      <w:pPr>
        <w:spacing w:line="360" w:lineRule="auto"/>
        <w:rPr>
          <w:rFonts w:ascii="Arial" w:eastAsia="Arial" w:hAnsi="Arial"/>
          <w:sz w:val="24"/>
          <w:lang w:val="es-AR"/>
        </w:rPr>
      </w:pPr>
    </w:p>
    <w:p w14:paraId="4AB518F1" w14:textId="77777777" w:rsidR="00FD59B7" w:rsidRDefault="00FD59B7" w:rsidP="00FD59B7">
      <w:pPr>
        <w:spacing w:line="360" w:lineRule="auto"/>
        <w:rPr>
          <w:rFonts w:ascii="Arial" w:eastAsia="Arial" w:hAnsi="Arial"/>
          <w:sz w:val="24"/>
          <w:lang w:val="es-AR"/>
        </w:rPr>
      </w:pPr>
    </w:p>
    <w:p w14:paraId="24898AF0" w14:textId="1831D495" w:rsidR="00FD59B7" w:rsidRPr="00FD59B7" w:rsidRDefault="00FD59B7" w:rsidP="00FD59B7">
      <w:pPr>
        <w:spacing w:line="360" w:lineRule="auto"/>
        <w:rPr>
          <w:rFonts w:ascii="Arial" w:eastAsia="Arial" w:hAnsi="Arial"/>
          <w:sz w:val="24"/>
          <w:lang w:val="es-AR"/>
        </w:rPr>
      </w:pPr>
      <w:r w:rsidRPr="00FD59B7">
        <w:rPr>
          <w:rFonts w:ascii="Arial" w:eastAsia="Arial" w:hAnsi="Arial"/>
          <w:sz w:val="24"/>
          <w:lang w:val="es-AR"/>
        </w:rPr>
        <w:t>Prendes Espinosa, M. P., &amp; Cerdán Cartagena, F. (2021). Tecnologías avanzadas e innovación educativa. RIED, 24(1), 33–53. https://doi.org/10.5944/ried.24.1.28415</w:t>
      </w:r>
    </w:p>
    <w:p w14:paraId="675F56E0" w14:textId="68DA749A" w:rsidR="00FD59B7" w:rsidRPr="00FD59B7" w:rsidRDefault="00FD59B7" w:rsidP="00FD59B7">
      <w:pPr>
        <w:spacing w:line="360" w:lineRule="auto"/>
        <w:rPr>
          <w:rFonts w:ascii="Arial" w:eastAsia="Arial" w:hAnsi="Arial"/>
          <w:sz w:val="24"/>
          <w:lang w:val="es-AR"/>
        </w:rPr>
      </w:pPr>
      <w:r w:rsidRPr="00FD59B7">
        <w:rPr>
          <w:rFonts w:ascii="Arial" w:eastAsia="Arial" w:hAnsi="Arial"/>
          <w:sz w:val="24"/>
          <w:lang w:val="es-AR"/>
        </w:rPr>
        <w:t>Ríos Cabrera, P. (2020). Innovación educativa en América Latina. Revista Educación y Pedagogía.</w:t>
      </w:r>
    </w:p>
    <w:p w14:paraId="168B24E1" w14:textId="5B29ACE3" w:rsidR="00FD59B7" w:rsidRPr="00FD59B7" w:rsidRDefault="00FD59B7" w:rsidP="00FD59B7">
      <w:pPr>
        <w:spacing w:line="360" w:lineRule="auto"/>
        <w:rPr>
          <w:rFonts w:ascii="Arial" w:eastAsia="Arial" w:hAnsi="Arial"/>
          <w:sz w:val="24"/>
          <w:lang w:val="es-AR"/>
        </w:rPr>
      </w:pPr>
      <w:r w:rsidRPr="00FD59B7">
        <w:rPr>
          <w:rFonts w:ascii="Arial" w:eastAsia="Arial" w:hAnsi="Arial"/>
          <w:sz w:val="24"/>
          <w:lang w:val="es-AR"/>
        </w:rPr>
        <w:t xml:space="preserve">Rodríguez-Legendre, F., &amp; Fernández-Cruz, F. J. (2023). </w:t>
      </w:r>
      <w:r w:rsidRPr="00FD59B7">
        <w:rPr>
          <w:rFonts w:ascii="Arial" w:eastAsia="Arial" w:hAnsi="Arial"/>
          <w:sz w:val="24"/>
        </w:rPr>
        <w:t xml:space="preserve">The innovative competence of university teachers. </w:t>
      </w:r>
      <w:proofErr w:type="spellStart"/>
      <w:r w:rsidRPr="00FD59B7">
        <w:rPr>
          <w:rFonts w:ascii="Arial" w:eastAsia="Arial" w:hAnsi="Arial"/>
          <w:sz w:val="24"/>
          <w:lang w:val="es-AR"/>
        </w:rPr>
        <w:t>Education</w:t>
      </w:r>
      <w:proofErr w:type="spellEnd"/>
      <w:r w:rsidRPr="00FD59B7">
        <w:rPr>
          <w:rFonts w:ascii="Arial" w:eastAsia="Arial" w:hAnsi="Arial"/>
          <w:sz w:val="24"/>
          <w:lang w:val="es-AR"/>
        </w:rPr>
        <w:t xml:space="preserve"> </w:t>
      </w:r>
      <w:proofErr w:type="spellStart"/>
      <w:r w:rsidRPr="00FD59B7">
        <w:rPr>
          <w:rFonts w:ascii="Arial" w:eastAsia="Arial" w:hAnsi="Arial"/>
          <w:sz w:val="24"/>
          <w:lang w:val="es-AR"/>
        </w:rPr>
        <w:t>Sciences</w:t>
      </w:r>
      <w:proofErr w:type="spellEnd"/>
      <w:r w:rsidRPr="00FD59B7">
        <w:rPr>
          <w:rFonts w:ascii="Arial" w:eastAsia="Arial" w:hAnsi="Arial"/>
          <w:sz w:val="24"/>
          <w:lang w:val="es-AR"/>
        </w:rPr>
        <w:t>, 13(8), 803. https://doi.org/10.3390/educsci13080803</w:t>
      </w:r>
    </w:p>
    <w:p w14:paraId="26FABA6A" w14:textId="48D2811E" w:rsidR="00FD59B7" w:rsidRPr="00FD59B7" w:rsidRDefault="00FD59B7" w:rsidP="00FD59B7">
      <w:pPr>
        <w:spacing w:line="360" w:lineRule="auto"/>
        <w:rPr>
          <w:rFonts w:ascii="Arial" w:eastAsia="Arial" w:hAnsi="Arial"/>
          <w:sz w:val="24"/>
          <w:lang w:val="es-AR"/>
        </w:rPr>
      </w:pPr>
      <w:r w:rsidRPr="00FD59B7">
        <w:rPr>
          <w:rFonts w:ascii="Arial" w:eastAsia="Arial" w:hAnsi="Arial"/>
          <w:sz w:val="24"/>
          <w:lang w:val="es-AR"/>
        </w:rPr>
        <w:t>Tardif, M. (2004). Los saberes del docente y su desarrollo profesional. Narcea.</w:t>
      </w:r>
    </w:p>
    <w:p w14:paraId="3164A340" w14:textId="3D43B02F" w:rsidR="00FD59B7" w:rsidRPr="00FD59B7" w:rsidRDefault="00FD59B7" w:rsidP="00FD59B7">
      <w:pPr>
        <w:spacing w:line="360" w:lineRule="auto"/>
        <w:rPr>
          <w:rFonts w:ascii="Arial" w:eastAsia="Arial" w:hAnsi="Arial"/>
          <w:sz w:val="24"/>
          <w:lang w:val="es-AR"/>
        </w:rPr>
      </w:pPr>
      <w:r w:rsidRPr="00FD59B7">
        <w:rPr>
          <w:rFonts w:ascii="Arial" w:eastAsia="Arial" w:hAnsi="Arial"/>
          <w:sz w:val="24"/>
          <w:lang w:val="es-AR"/>
        </w:rPr>
        <w:t>Freire, P. (1970). Pedagogía del oprimido. Siglo XXI.</w:t>
      </w:r>
    </w:p>
    <w:p w14:paraId="77F0D0AE" w14:textId="61C4281C" w:rsidR="00FD59B7" w:rsidRPr="00FD59B7" w:rsidRDefault="00FD59B7" w:rsidP="00FD59B7">
      <w:pPr>
        <w:spacing w:line="360" w:lineRule="auto"/>
        <w:rPr>
          <w:rFonts w:ascii="Arial" w:eastAsia="Arial" w:hAnsi="Arial"/>
          <w:sz w:val="24"/>
        </w:rPr>
      </w:pPr>
      <w:r w:rsidRPr="00FD59B7">
        <w:rPr>
          <w:rFonts w:ascii="Arial" w:eastAsia="Arial" w:hAnsi="Arial"/>
          <w:sz w:val="24"/>
          <w:lang w:val="es-AR"/>
        </w:rPr>
        <w:t xml:space="preserve">Morin, E. (1999). Los siete saberes necesarios para la educación del futuro. </w:t>
      </w:r>
      <w:r w:rsidRPr="00FD59B7">
        <w:rPr>
          <w:rFonts w:ascii="Arial" w:eastAsia="Arial" w:hAnsi="Arial"/>
          <w:sz w:val="24"/>
        </w:rPr>
        <w:t>UNESCO.</w:t>
      </w:r>
    </w:p>
    <w:p w14:paraId="69F4F490" w14:textId="68CAD822" w:rsidR="00FD59B7" w:rsidRPr="00FD59B7" w:rsidRDefault="00FD59B7" w:rsidP="00FD59B7">
      <w:pPr>
        <w:spacing w:line="360" w:lineRule="auto"/>
        <w:rPr>
          <w:rFonts w:ascii="Arial" w:eastAsia="Arial" w:hAnsi="Arial"/>
          <w:sz w:val="24"/>
        </w:rPr>
      </w:pPr>
      <w:r w:rsidRPr="00FD59B7">
        <w:rPr>
          <w:rFonts w:ascii="Arial" w:eastAsia="Arial" w:hAnsi="Arial"/>
          <w:sz w:val="24"/>
        </w:rPr>
        <w:t>Conrad, K., &amp; Kamperman, S. (2025). Building critical AI literacy. Thresholds in Education, 48(2), 142–158.</w:t>
      </w:r>
    </w:p>
    <w:p w14:paraId="2D95F7D6" w14:textId="4EB043E6" w:rsidR="00FD59B7" w:rsidRPr="00FD59B7" w:rsidRDefault="00FD59B7" w:rsidP="00FD59B7">
      <w:pPr>
        <w:spacing w:line="360" w:lineRule="auto"/>
        <w:rPr>
          <w:rFonts w:ascii="Arial" w:eastAsia="Arial" w:hAnsi="Arial"/>
          <w:sz w:val="24"/>
        </w:rPr>
      </w:pPr>
      <w:r w:rsidRPr="00FD59B7">
        <w:rPr>
          <w:rFonts w:ascii="Arial" w:eastAsia="Arial" w:hAnsi="Arial"/>
          <w:sz w:val="24"/>
        </w:rPr>
        <w:t>Costa, C., &amp; Murphy, M. (2025). Generative artificial intelligence in education. Learning, Media and Technology. https://doi.org/10.1080/17439884.2025.2518258</w:t>
      </w:r>
    </w:p>
    <w:p w14:paraId="6B8B2C2F" w14:textId="208AB3F6" w:rsidR="00FD59B7" w:rsidRPr="00FD59B7" w:rsidRDefault="00FD59B7" w:rsidP="00FD59B7">
      <w:pPr>
        <w:spacing w:line="360" w:lineRule="auto"/>
        <w:rPr>
          <w:rFonts w:ascii="Arial" w:eastAsia="Arial" w:hAnsi="Arial"/>
          <w:sz w:val="24"/>
          <w:lang w:val="es-AR"/>
        </w:rPr>
      </w:pPr>
      <w:r w:rsidRPr="00FD59B7">
        <w:rPr>
          <w:rFonts w:ascii="Arial" w:eastAsia="Arial" w:hAnsi="Arial"/>
          <w:sz w:val="24"/>
          <w:lang w:val="es-AR"/>
        </w:rPr>
        <w:t>Banco Interamericano de Desarrollo. (2021). Transformación digital en la educación superior en América Latina.</w:t>
      </w:r>
    </w:p>
    <w:p w14:paraId="7CD1CED3" w14:textId="552B00AF" w:rsidR="00C749E0" w:rsidRPr="00414A02" w:rsidRDefault="00FD59B7" w:rsidP="00FD59B7">
      <w:pPr>
        <w:spacing w:line="360" w:lineRule="auto"/>
        <w:rPr>
          <w:lang w:val="es-AR"/>
        </w:rPr>
      </w:pPr>
      <w:r w:rsidRPr="00FD59B7">
        <w:rPr>
          <w:rFonts w:ascii="Arial" w:eastAsia="Arial" w:hAnsi="Arial"/>
          <w:sz w:val="24"/>
          <w:lang w:val="es-AR"/>
        </w:rPr>
        <w:t>UNESCO. (2025). La escasez docente en América Latina y el Caribe.</w:t>
      </w:r>
      <w:r w:rsidR="00000000" w:rsidRPr="00414A02">
        <w:rPr>
          <w:rFonts w:ascii="Arial" w:eastAsia="Arial" w:hAnsi="Arial"/>
          <w:sz w:val="24"/>
          <w:lang w:val="es-AR"/>
        </w:rPr>
        <w:t xml:space="preserve"> </w:t>
      </w:r>
    </w:p>
    <w:sectPr w:rsidR="00C749E0" w:rsidRPr="00414A02" w:rsidSect="00034616">
      <w:headerReference w:type="default" r:id="rId8"/>
      <w:footerReference w:type="default" r:id="rId9"/>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F222D" w14:textId="77777777" w:rsidR="002D686C" w:rsidRDefault="002D686C" w:rsidP="00414A02">
      <w:pPr>
        <w:spacing w:after="0" w:line="240" w:lineRule="auto"/>
      </w:pPr>
      <w:r>
        <w:separator/>
      </w:r>
    </w:p>
  </w:endnote>
  <w:endnote w:type="continuationSeparator" w:id="0">
    <w:p w14:paraId="7981A060" w14:textId="77777777" w:rsidR="002D686C" w:rsidRDefault="002D686C" w:rsidP="00414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7BEA1" w14:textId="77777777" w:rsidR="00414A02" w:rsidRPr="00414A02" w:rsidRDefault="00414A02" w:rsidP="00414A02">
    <w:pPr>
      <w:pStyle w:val="Piedepgina"/>
      <w:jc w:val="center"/>
      <w:rPr>
        <w:rFonts w:ascii="Arial" w:hAnsi="Arial" w:cs="Arial"/>
        <w:sz w:val="20"/>
        <w:szCs w:val="20"/>
        <w:lang w:val="es-ES_tradnl"/>
      </w:rPr>
    </w:pPr>
    <w:r w:rsidRPr="00414A02">
      <w:rPr>
        <w:rFonts w:ascii="Arial" w:hAnsi="Arial" w:cs="Arial"/>
        <w:sz w:val="20"/>
        <w:szCs w:val="20"/>
        <w:lang w:val="es-ES_tradnl"/>
      </w:rPr>
      <w:t>Instituto de la Educación y del Conocimiento</w:t>
    </w:r>
  </w:p>
  <w:p w14:paraId="04A901E8" w14:textId="77777777" w:rsidR="00414A02" w:rsidRPr="00414A02" w:rsidRDefault="00414A02" w:rsidP="00414A02">
    <w:pPr>
      <w:pStyle w:val="Piedepgina"/>
      <w:jc w:val="center"/>
      <w:rPr>
        <w:rFonts w:ascii="Arial" w:hAnsi="Arial" w:cs="Arial"/>
        <w:sz w:val="20"/>
        <w:szCs w:val="20"/>
        <w:lang w:val="es-ES_tradnl"/>
      </w:rPr>
    </w:pPr>
    <w:r w:rsidRPr="00414A02">
      <w:rPr>
        <w:rFonts w:ascii="Arial" w:hAnsi="Arial" w:cs="Arial"/>
        <w:sz w:val="20"/>
        <w:szCs w:val="20"/>
        <w:lang w:val="es-ES_tradnl"/>
      </w:rPr>
      <w:t>Universidad Nacional de Tierra del Fuego, Antártida e Islas del Atlántico Sur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C500F" w14:textId="77777777" w:rsidR="002D686C" w:rsidRDefault="002D686C" w:rsidP="00414A02">
      <w:pPr>
        <w:spacing w:after="0" w:line="240" w:lineRule="auto"/>
      </w:pPr>
      <w:r>
        <w:separator/>
      </w:r>
    </w:p>
  </w:footnote>
  <w:footnote w:type="continuationSeparator" w:id="0">
    <w:p w14:paraId="2EEADE2B" w14:textId="77777777" w:rsidR="002D686C" w:rsidRDefault="002D686C" w:rsidP="00414A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BB183" w14:textId="77777777" w:rsidR="00414A02" w:rsidRDefault="00414A02">
    <w:pPr>
      <w:pStyle w:val="Encabezado"/>
    </w:pPr>
    <w:r>
      <w:rPr>
        <w:noProof/>
      </w:rPr>
      <w:drawing>
        <wp:anchor distT="0" distB="0" distL="114300" distR="114300" simplePos="0" relativeHeight="251658240" behindDoc="1" locked="0" layoutInCell="1" allowOverlap="1" wp14:anchorId="703A717F" wp14:editId="0D210A07">
          <wp:simplePos x="0" y="0"/>
          <wp:positionH relativeFrom="column">
            <wp:posOffset>909569</wp:posOffset>
          </wp:positionH>
          <wp:positionV relativeFrom="paragraph">
            <wp:posOffset>-125095</wp:posOffset>
          </wp:positionV>
          <wp:extent cx="4332605" cy="1246505"/>
          <wp:effectExtent l="0" t="0" r="0" b="0"/>
          <wp:wrapTight wrapText="bothSides">
            <wp:wrapPolygon edited="0">
              <wp:start x="0" y="0"/>
              <wp:lineTo x="0" y="21347"/>
              <wp:lineTo x="21527" y="21347"/>
              <wp:lineTo x="21527" y="0"/>
              <wp:lineTo x="0" y="0"/>
            </wp:wrapPolygon>
          </wp:wrapTight>
          <wp:docPr id="19756432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643229" name="Imagen 1975643229"/>
                  <pic:cNvPicPr/>
                </pic:nvPicPr>
                <pic:blipFill>
                  <a:blip r:embed="rId1"/>
                  <a:stretch>
                    <a:fillRect/>
                  </a:stretch>
                </pic:blipFill>
                <pic:spPr>
                  <a:xfrm>
                    <a:off x="0" y="0"/>
                    <a:ext cx="4332605" cy="12465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463546195">
    <w:abstractNumId w:val="8"/>
  </w:num>
  <w:num w:numId="2" w16cid:durableId="2014647980">
    <w:abstractNumId w:val="6"/>
  </w:num>
  <w:num w:numId="3" w16cid:durableId="2085641541">
    <w:abstractNumId w:val="5"/>
  </w:num>
  <w:num w:numId="4" w16cid:durableId="1599799357">
    <w:abstractNumId w:val="4"/>
  </w:num>
  <w:num w:numId="5" w16cid:durableId="817573631">
    <w:abstractNumId w:val="7"/>
  </w:num>
  <w:num w:numId="6" w16cid:durableId="214391234">
    <w:abstractNumId w:val="3"/>
  </w:num>
  <w:num w:numId="7" w16cid:durableId="346521343">
    <w:abstractNumId w:val="2"/>
  </w:num>
  <w:num w:numId="8" w16cid:durableId="1255897033">
    <w:abstractNumId w:val="1"/>
  </w:num>
  <w:num w:numId="9" w16cid:durableId="340737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4957"/>
    <w:rsid w:val="0015074B"/>
    <w:rsid w:val="0029639D"/>
    <w:rsid w:val="002D686C"/>
    <w:rsid w:val="00326F90"/>
    <w:rsid w:val="00414A02"/>
    <w:rsid w:val="00545F93"/>
    <w:rsid w:val="0074083F"/>
    <w:rsid w:val="00AA1D8D"/>
    <w:rsid w:val="00B47730"/>
    <w:rsid w:val="00C749E0"/>
    <w:rsid w:val="00CB0664"/>
    <w:rsid w:val="00FC693F"/>
    <w:rsid w:val="00FD59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77DC727"/>
  <w14:defaultImageDpi w14:val="300"/>
  <w15:docId w15:val="{3A7B557F-23BD-9945-86C9-678F21FD8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notapie">
    <w:name w:val="footnote text"/>
    <w:basedOn w:val="Normal"/>
    <w:link w:val="TextonotapieCar"/>
    <w:uiPriority w:val="99"/>
    <w:semiHidden/>
    <w:unhideWhenUsed/>
    <w:rsid w:val="00414A0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14A02"/>
    <w:rPr>
      <w:sz w:val="20"/>
      <w:szCs w:val="20"/>
    </w:rPr>
  </w:style>
  <w:style w:type="character" w:styleId="Refdenotaalpie">
    <w:name w:val="footnote reference"/>
    <w:basedOn w:val="Fuentedeprrafopredeter"/>
    <w:uiPriority w:val="99"/>
    <w:semiHidden/>
    <w:unhideWhenUsed/>
    <w:rsid w:val="00414A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1522</Words>
  <Characters>8376</Characters>
  <Application>Microsoft Office Word</Application>
  <DocSecurity>0</DocSecurity>
  <Lines>69</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9879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Sujatovich, Luis</cp:lastModifiedBy>
  <cp:revision>2</cp:revision>
  <dcterms:created xsi:type="dcterms:W3CDTF">2026-05-06T19:39:00Z</dcterms:created>
  <dcterms:modified xsi:type="dcterms:W3CDTF">2026-05-06T19:39:00Z</dcterms:modified>
  <cp:category/>
</cp:coreProperties>
</file>