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849948" w14:textId="77777777" w:rsidR="00414A02" w:rsidRPr="009D791D" w:rsidRDefault="00414A02" w:rsidP="009D1785">
      <w:pPr>
        <w:spacing w:line="360" w:lineRule="auto"/>
        <w:jc w:val="center"/>
        <w:rPr>
          <w:rFonts w:ascii="Arial" w:eastAsia="Arial" w:hAnsi="Arial"/>
          <w:b/>
          <w:sz w:val="28"/>
          <w:lang w:val="es-AR"/>
        </w:rPr>
      </w:pPr>
    </w:p>
    <w:p w14:paraId="56F91135" w14:textId="77777777" w:rsidR="00414A02" w:rsidRPr="009D791D" w:rsidRDefault="00414A02" w:rsidP="009D1785">
      <w:pPr>
        <w:spacing w:line="360" w:lineRule="auto"/>
        <w:jc w:val="center"/>
        <w:rPr>
          <w:rFonts w:ascii="Arial" w:eastAsia="Arial" w:hAnsi="Arial"/>
          <w:b/>
          <w:sz w:val="28"/>
          <w:lang w:val="es-AR"/>
        </w:rPr>
      </w:pPr>
    </w:p>
    <w:p w14:paraId="2C1604FC" w14:textId="77777777" w:rsidR="001F3540" w:rsidRPr="009D791D" w:rsidRDefault="001F3540" w:rsidP="009D1785">
      <w:pPr>
        <w:spacing w:line="360" w:lineRule="auto"/>
        <w:rPr>
          <w:lang w:val="es-AR"/>
        </w:rPr>
      </w:pPr>
    </w:p>
    <w:p w14:paraId="63C9F79C" w14:textId="77777777" w:rsidR="009D791D" w:rsidRPr="009D791D" w:rsidRDefault="009D791D" w:rsidP="009D1785">
      <w:pPr>
        <w:pStyle w:val="NormalWeb"/>
        <w:spacing w:before="0" w:beforeAutospacing="0" w:after="200" w:afterAutospacing="0" w:line="360" w:lineRule="auto"/>
        <w:jc w:val="center"/>
      </w:pPr>
      <w:r w:rsidRPr="009D791D">
        <w:rPr>
          <w:rFonts w:ascii="Arial" w:hAnsi="Arial" w:cs="Arial"/>
          <w:b/>
          <w:bCs/>
          <w:color w:val="000000"/>
          <w:sz w:val="28"/>
          <w:szCs w:val="28"/>
        </w:rPr>
        <w:t>Título:</w:t>
      </w:r>
      <w:r w:rsidRPr="009D791D">
        <w:rPr>
          <w:rFonts w:ascii="Arial" w:hAnsi="Arial" w:cs="Arial"/>
          <w:color w:val="000000"/>
          <w:sz w:val="28"/>
          <w:szCs w:val="28"/>
        </w:rPr>
        <w:t xml:space="preserve"> La educación argentina como oportunidad y frontera: avances, retrocesos y desafíos frente a la desigualdad (2015-2025) </w:t>
      </w:r>
    </w:p>
    <w:p w14:paraId="562D0120" w14:textId="77777777" w:rsidR="009D791D" w:rsidRPr="009D791D" w:rsidRDefault="009D791D" w:rsidP="009D1785">
      <w:pPr>
        <w:pStyle w:val="NormalWeb"/>
        <w:spacing w:before="0" w:beforeAutospacing="0" w:after="200" w:afterAutospacing="0" w:line="360" w:lineRule="auto"/>
        <w:jc w:val="center"/>
      </w:pPr>
      <w:r w:rsidRPr="009D791D">
        <w:rPr>
          <w:rFonts w:ascii="Arial" w:hAnsi="Arial" w:cs="Arial"/>
          <w:b/>
          <w:bCs/>
          <w:color w:val="000000"/>
          <w:sz w:val="28"/>
          <w:szCs w:val="28"/>
        </w:rPr>
        <w:t>Title:</w:t>
      </w:r>
      <w:r w:rsidRPr="009D791D">
        <w:rPr>
          <w:rFonts w:ascii="Arial" w:hAnsi="Arial" w:cs="Arial"/>
          <w:color w:val="000000"/>
          <w:sz w:val="28"/>
          <w:szCs w:val="28"/>
        </w:rPr>
        <w:t xml:space="preserve"> Argentine Education as Opportunity and Frontier: Advances, Setbacks, and Challenges in the Face of Inequality (2015-2025) </w:t>
      </w:r>
    </w:p>
    <w:p w14:paraId="17910038" w14:textId="77777777" w:rsidR="009D791D" w:rsidRPr="009D791D" w:rsidRDefault="009D791D" w:rsidP="009D1785">
      <w:pPr>
        <w:pStyle w:val="NormalWeb"/>
        <w:spacing w:before="0" w:beforeAutospacing="0" w:after="200" w:afterAutospacing="0" w:line="360" w:lineRule="auto"/>
        <w:jc w:val="center"/>
      </w:pPr>
      <w:r w:rsidRPr="009D791D">
        <w:rPr>
          <w:rFonts w:ascii="Arial" w:hAnsi="Arial" w:cs="Arial"/>
          <w:b/>
          <w:bCs/>
          <w:color w:val="000000"/>
          <w:sz w:val="28"/>
          <w:szCs w:val="28"/>
        </w:rPr>
        <w:t>Título:</w:t>
      </w:r>
      <w:r w:rsidRPr="009D791D">
        <w:rPr>
          <w:rFonts w:ascii="Arial" w:hAnsi="Arial" w:cs="Arial"/>
          <w:color w:val="000000"/>
          <w:sz w:val="28"/>
          <w:szCs w:val="28"/>
        </w:rPr>
        <w:t xml:space="preserve"> A educação argentina como oportunidade e fronteira: avanços, retrocessos e desafios frente à desigualdade (2015-2025)</w:t>
      </w:r>
    </w:p>
    <w:p w14:paraId="30C224C9" w14:textId="77777777" w:rsidR="009D791D" w:rsidRPr="009D791D" w:rsidRDefault="009D791D" w:rsidP="009D1785">
      <w:pPr>
        <w:spacing w:line="360" w:lineRule="auto"/>
        <w:rPr>
          <w:lang w:val="es-AR"/>
        </w:rPr>
      </w:pPr>
    </w:p>
    <w:p w14:paraId="4F12D9D7" w14:textId="77777777" w:rsidR="009D791D" w:rsidRPr="009D791D" w:rsidRDefault="009D791D" w:rsidP="009D1785">
      <w:pPr>
        <w:spacing w:line="360" w:lineRule="auto"/>
        <w:rPr>
          <w:lang w:val="es-AR"/>
        </w:rPr>
      </w:pPr>
    </w:p>
    <w:p w14:paraId="213BF5C8" w14:textId="77777777" w:rsidR="009D791D" w:rsidRPr="009D791D" w:rsidRDefault="007243A5" w:rsidP="009D1785">
      <w:pPr>
        <w:pStyle w:val="NormalWeb"/>
        <w:spacing w:before="0" w:beforeAutospacing="0" w:after="200" w:afterAutospacing="0" w:line="360" w:lineRule="auto"/>
        <w:rPr>
          <w:sz w:val="22"/>
          <w:szCs w:val="22"/>
        </w:rPr>
      </w:pPr>
      <w:r w:rsidRPr="009D791D">
        <w:rPr>
          <w:rFonts w:ascii="Arial" w:eastAsia="Arial" w:hAnsi="Arial"/>
          <w:sz w:val="22"/>
          <w:szCs w:val="22"/>
        </w:rPr>
        <w:t xml:space="preserve">Palabras clave: </w:t>
      </w:r>
      <w:r w:rsidR="009D791D" w:rsidRPr="009D791D">
        <w:rPr>
          <w:rFonts w:ascii="Arial" w:hAnsi="Arial" w:cs="Arial"/>
          <w:color w:val="000000"/>
          <w:sz w:val="22"/>
          <w:szCs w:val="22"/>
        </w:rPr>
        <w:t>Educación argentina, Desigualdad, Oportunidad. </w:t>
      </w:r>
    </w:p>
    <w:p w14:paraId="1450C9FB" w14:textId="77777777" w:rsidR="009D791D" w:rsidRPr="009D791D" w:rsidRDefault="007243A5" w:rsidP="009D1785">
      <w:pPr>
        <w:spacing w:line="360" w:lineRule="auto"/>
        <w:rPr>
          <w:rFonts w:ascii="Arial" w:eastAsia="Arial" w:hAnsi="Arial"/>
          <w:lang w:val="es-AR"/>
        </w:rPr>
      </w:pPr>
      <w:r w:rsidRPr="009D791D">
        <w:rPr>
          <w:rFonts w:ascii="Arial" w:eastAsia="Arial" w:hAnsi="Arial"/>
          <w:lang w:val="es-AR"/>
        </w:rPr>
        <w:t xml:space="preserve">Keywords: </w:t>
      </w:r>
      <w:r w:rsidR="009D791D" w:rsidRPr="009D791D">
        <w:rPr>
          <w:rFonts w:ascii="Arial" w:hAnsi="Arial" w:cs="Arial"/>
          <w:color w:val="000000"/>
          <w:lang w:val="es-AR"/>
        </w:rPr>
        <w:t>Argentine education, inequality, opportunity.</w:t>
      </w:r>
      <w:r w:rsidR="009D791D" w:rsidRPr="009D791D">
        <w:rPr>
          <w:rFonts w:ascii="Arial" w:eastAsia="Arial" w:hAnsi="Arial"/>
          <w:lang w:val="es-AR"/>
        </w:rPr>
        <w:t xml:space="preserve"> </w:t>
      </w:r>
    </w:p>
    <w:p w14:paraId="7A61713B" w14:textId="77777777" w:rsidR="001F3540" w:rsidRPr="009D791D" w:rsidRDefault="007243A5" w:rsidP="009D1785">
      <w:pPr>
        <w:spacing w:line="360" w:lineRule="auto"/>
        <w:rPr>
          <w:rFonts w:ascii="Arial" w:eastAsia="Arial" w:hAnsi="Arial"/>
          <w:lang w:val="es-AR"/>
        </w:rPr>
      </w:pPr>
      <w:r w:rsidRPr="009D791D">
        <w:rPr>
          <w:rFonts w:ascii="Arial" w:eastAsia="Arial" w:hAnsi="Arial"/>
          <w:lang w:val="es-AR"/>
        </w:rPr>
        <w:t xml:space="preserve">Palavras-chave: </w:t>
      </w:r>
      <w:r w:rsidR="009D791D" w:rsidRPr="009D791D">
        <w:rPr>
          <w:rFonts w:ascii="Arial" w:hAnsi="Arial" w:cs="Arial"/>
          <w:b/>
          <w:bCs/>
          <w:color w:val="000000"/>
          <w:lang w:val="es-AR"/>
        </w:rPr>
        <w:t>:</w:t>
      </w:r>
      <w:r w:rsidR="009D791D" w:rsidRPr="009D791D">
        <w:rPr>
          <w:rFonts w:ascii="Arial" w:hAnsi="Arial" w:cs="Arial"/>
          <w:color w:val="000000"/>
          <w:lang w:val="es-AR"/>
        </w:rPr>
        <w:t xml:space="preserve"> Educação argentina, Desigualdade, Oportunidade.</w:t>
      </w:r>
    </w:p>
    <w:p w14:paraId="0741D67A" w14:textId="77777777" w:rsidR="009D791D" w:rsidRPr="009D791D" w:rsidRDefault="009D791D" w:rsidP="009D1785">
      <w:pPr>
        <w:pStyle w:val="NormalWeb"/>
        <w:spacing w:before="0" w:beforeAutospacing="0" w:after="200" w:afterAutospacing="0" w:line="360" w:lineRule="auto"/>
        <w:jc w:val="both"/>
        <w:rPr>
          <w:rFonts w:ascii="Arial" w:hAnsi="Arial" w:cs="Arial"/>
          <w:b/>
          <w:bCs/>
          <w:color w:val="333333"/>
        </w:rPr>
      </w:pPr>
    </w:p>
    <w:p w14:paraId="03CDCB7C" w14:textId="77777777" w:rsidR="009D791D" w:rsidRPr="009D791D" w:rsidRDefault="009D791D" w:rsidP="009D1785">
      <w:pPr>
        <w:pStyle w:val="NormalWeb"/>
        <w:spacing w:before="0" w:beforeAutospacing="0" w:after="200" w:afterAutospacing="0" w:line="360" w:lineRule="auto"/>
        <w:jc w:val="both"/>
      </w:pPr>
      <w:r w:rsidRPr="009D791D">
        <w:rPr>
          <w:rFonts w:ascii="Arial" w:hAnsi="Arial" w:cs="Arial"/>
          <w:b/>
          <w:bCs/>
          <w:color w:val="333333"/>
        </w:rPr>
        <w:t>Mesa 6: La educación como oportunidad o como frontera de desigualdades sociales en el ámbito educativo. </w:t>
      </w:r>
    </w:p>
    <w:p w14:paraId="6457B70E" w14:textId="77777777" w:rsidR="009D1785" w:rsidRDefault="009D1785" w:rsidP="009D1785">
      <w:pPr>
        <w:pStyle w:val="Ttulo3"/>
        <w:spacing w:before="0" w:after="200" w:line="360" w:lineRule="auto"/>
        <w:rPr>
          <w:rFonts w:ascii="Arial" w:hAnsi="Arial" w:cs="Arial"/>
          <w:color w:val="000000"/>
          <w:sz w:val="24"/>
          <w:szCs w:val="24"/>
          <w:lang w:val="es-AR"/>
        </w:rPr>
      </w:pPr>
    </w:p>
    <w:p w14:paraId="40CAF1FD" w14:textId="77777777" w:rsidR="009D1785" w:rsidRDefault="009D1785" w:rsidP="009D1785">
      <w:pPr>
        <w:pStyle w:val="Ttulo3"/>
        <w:spacing w:before="0" w:after="200" w:line="360" w:lineRule="auto"/>
        <w:rPr>
          <w:rFonts w:ascii="Arial" w:hAnsi="Arial" w:cs="Arial"/>
          <w:color w:val="000000"/>
          <w:sz w:val="24"/>
          <w:szCs w:val="24"/>
          <w:lang w:val="es-AR"/>
        </w:rPr>
      </w:pPr>
    </w:p>
    <w:p w14:paraId="0903FA44" w14:textId="14169125" w:rsidR="009D791D" w:rsidRPr="009D791D" w:rsidRDefault="009D791D" w:rsidP="009D1785">
      <w:pPr>
        <w:pStyle w:val="Ttulo3"/>
        <w:spacing w:before="0" w:after="200" w:line="360" w:lineRule="auto"/>
        <w:rPr>
          <w:lang w:val="es-AR"/>
        </w:rPr>
      </w:pPr>
      <w:r w:rsidRPr="009D791D">
        <w:rPr>
          <w:rFonts w:ascii="Arial" w:hAnsi="Arial" w:cs="Arial"/>
          <w:color w:val="000000"/>
          <w:sz w:val="24"/>
          <w:szCs w:val="24"/>
          <w:lang w:val="es-AR"/>
        </w:rPr>
        <w:t>Resumen Extendido</w:t>
      </w:r>
    </w:p>
    <w:p w14:paraId="5FD72C70" w14:textId="77777777" w:rsidR="009D791D" w:rsidRPr="009D791D" w:rsidRDefault="009D791D" w:rsidP="009D1785">
      <w:pPr>
        <w:pStyle w:val="Ttulo4"/>
        <w:spacing w:before="0" w:after="200" w:line="360" w:lineRule="auto"/>
        <w:jc w:val="both"/>
        <w:rPr>
          <w:i w:val="0"/>
          <w:iCs w:val="0"/>
          <w:sz w:val="24"/>
          <w:szCs w:val="24"/>
          <w:lang w:val="es-AR"/>
        </w:rPr>
      </w:pPr>
      <w:r w:rsidRPr="009D791D">
        <w:rPr>
          <w:rFonts w:ascii="Arial" w:hAnsi="Arial" w:cs="Arial"/>
          <w:i w:val="0"/>
          <w:iCs w:val="0"/>
          <w:color w:val="000000"/>
          <w:sz w:val="24"/>
          <w:szCs w:val="24"/>
          <w:lang w:val="es-AR"/>
        </w:rPr>
        <w:t>Introducción</w:t>
      </w:r>
    </w:p>
    <w:p w14:paraId="3FFD119F" w14:textId="26CDD3E9" w:rsidR="009D791D" w:rsidRDefault="009D791D" w:rsidP="009D1785">
      <w:pPr>
        <w:pStyle w:val="NormalWeb"/>
        <w:spacing w:before="0" w:beforeAutospacing="0" w:after="200" w:afterAutospacing="0" w:line="360" w:lineRule="auto"/>
        <w:jc w:val="both"/>
        <w:rPr>
          <w:rFonts w:ascii="Arial" w:hAnsi="Arial" w:cs="Arial"/>
          <w:color w:val="000000"/>
        </w:rPr>
      </w:pPr>
      <w:r w:rsidRPr="009D791D">
        <w:rPr>
          <w:rFonts w:ascii="Arial" w:hAnsi="Arial" w:cs="Arial"/>
          <w:color w:val="000000"/>
        </w:rPr>
        <w:t xml:space="preserve">La educación argentina arrastra una doble herencia: la promesa sarmientina de ser el gran igualador social y la persistencia de circuitos escolares que transforman diferencias de origen en destinos educativos desiguales. El período 2015-2025 condensa, en una década vertiginosa, tres gestiones gubernamentales —las presidencias de Mauricio Macri </w:t>
      </w:r>
    </w:p>
    <w:p w14:paraId="6A99C8FE" w14:textId="77777777" w:rsidR="009D791D" w:rsidRPr="009D791D" w:rsidRDefault="009D791D" w:rsidP="009D1785">
      <w:pPr>
        <w:pStyle w:val="NormalWeb"/>
        <w:spacing w:before="0" w:beforeAutospacing="0" w:after="200" w:afterAutospacing="0" w:line="360" w:lineRule="auto"/>
        <w:jc w:val="both"/>
      </w:pPr>
      <w:r w:rsidRPr="009D791D">
        <w:rPr>
          <w:rFonts w:ascii="Arial" w:hAnsi="Arial" w:cs="Arial"/>
          <w:color w:val="000000"/>
        </w:rPr>
        <w:t>(2015-2019), Alberto Fernández (2019-2023) y Javier Milei (diciembre de 2023 al presente)—, la irrupción de la pandemia de COVID-19 y una profunda crisis socioeconómica que impactó de lleno en las aulas. </w:t>
      </w:r>
    </w:p>
    <w:p w14:paraId="28C09603" w14:textId="77777777" w:rsidR="009D791D" w:rsidRPr="009D791D" w:rsidRDefault="009D791D" w:rsidP="009D1785">
      <w:pPr>
        <w:pStyle w:val="NormalWeb"/>
        <w:spacing w:before="0" w:beforeAutospacing="0" w:after="200" w:afterAutospacing="0" w:line="360" w:lineRule="auto"/>
        <w:jc w:val="both"/>
      </w:pPr>
      <w:r w:rsidRPr="009D791D">
        <w:rPr>
          <w:rFonts w:ascii="Arial" w:hAnsi="Arial" w:cs="Arial"/>
          <w:color w:val="000000"/>
        </w:rPr>
        <w:t>Este trabajo se propone analizar cómo se reconfiguró, en esos diez años, la tensión entre la educación como oportunidad de movilidad social y como frontera que reproduce y profundiza las desigualdades. En el presente trabajo se identifican avances, retrocesos, desafíos y oportunidades, con el objetivo de aportar elementos para un debate que supere la dicotomía entre el ideal de la educación como escalera de movilidad social ascendente y la clase social de origen como destino, cierre social y determinación en última instancia.</w:t>
      </w:r>
    </w:p>
    <w:p w14:paraId="7F47AD7A" w14:textId="77777777" w:rsidR="009D791D" w:rsidRDefault="009D791D" w:rsidP="009D1785">
      <w:pPr>
        <w:pStyle w:val="Ttulo4"/>
        <w:spacing w:before="0" w:after="200" w:line="360" w:lineRule="auto"/>
        <w:jc w:val="both"/>
        <w:rPr>
          <w:rFonts w:ascii="Arial" w:hAnsi="Arial" w:cs="Arial"/>
          <w:i w:val="0"/>
          <w:iCs w:val="0"/>
          <w:color w:val="000000"/>
          <w:sz w:val="24"/>
          <w:szCs w:val="24"/>
          <w:lang w:val="es-AR"/>
        </w:rPr>
      </w:pPr>
    </w:p>
    <w:p w14:paraId="7BD730F4" w14:textId="77777777" w:rsidR="009D791D" w:rsidRPr="009D791D" w:rsidRDefault="009D791D" w:rsidP="009D1785">
      <w:pPr>
        <w:pStyle w:val="Ttulo4"/>
        <w:spacing w:before="0" w:after="200" w:line="360" w:lineRule="auto"/>
        <w:jc w:val="both"/>
        <w:rPr>
          <w:i w:val="0"/>
          <w:iCs w:val="0"/>
          <w:sz w:val="24"/>
          <w:szCs w:val="24"/>
          <w:lang w:val="es-AR"/>
        </w:rPr>
      </w:pPr>
      <w:r w:rsidRPr="009D791D">
        <w:rPr>
          <w:rFonts w:ascii="Arial" w:hAnsi="Arial" w:cs="Arial"/>
          <w:i w:val="0"/>
          <w:iCs w:val="0"/>
          <w:color w:val="000000"/>
          <w:sz w:val="24"/>
          <w:szCs w:val="24"/>
          <w:lang w:val="es-AR"/>
        </w:rPr>
        <w:t>Marco teórico</w:t>
      </w:r>
    </w:p>
    <w:p w14:paraId="04F0C888" w14:textId="77777777" w:rsidR="009D1785" w:rsidRDefault="009D791D" w:rsidP="009D1785">
      <w:pPr>
        <w:pStyle w:val="NormalWeb"/>
        <w:spacing w:before="0" w:beforeAutospacing="0" w:after="200" w:afterAutospacing="0" w:line="360" w:lineRule="auto"/>
        <w:jc w:val="both"/>
        <w:rPr>
          <w:rFonts w:ascii="Arial" w:hAnsi="Arial" w:cs="Arial"/>
          <w:color w:val="000000"/>
        </w:rPr>
      </w:pPr>
      <w:r w:rsidRPr="009D791D">
        <w:rPr>
          <w:rFonts w:ascii="Arial" w:hAnsi="Arial" w:cs="Arial"/>
          <w:color w:val="000000"/>
        </w:rPr>
        <w:t xml:space="preserve">El andamiaje conceptual parte de la teoría de la reproducción cultural de Bourdieu y Passeron (1996) y se enriquece con las lecturas que autores argentinos han hecho de esa herencia. Adriana Puiggrós (1993, 2017) permite situar el período dentro de los ciclos largos de la educación argentina, mostrando cómo cada proyecto político imprime un </w:t>
      </w:r>
    </w:p>
    <w:p w14:paraId="3EAE9B71" w14:textId="77777777" w:rsidR="009D1785" w:rsidRDefault="009D1785" w:rsidP="009D1785">
      <w:pPr>
        <w:pStyle w:val="NormalWeb"/>
        <w:spacing w:before="0" w:beforeAutospacing="0" w:after="200" w:afterAutospacing="0" w:line="360" w:lineRule="auto"/>
        <w:jc w:val="both"/>
        <w:rPr>
          <w:rFonts w:ascii="Arial" w:hAnsi="Arial" w:cs="Arial"/>
          <w:color w:val="000000"/>
        </w:rPr>
      </w:pPr>
    </w:p>
    <w:p w14:paraId="25FACEB5" w14:textId="77777777" w:rsidR="009D1785" w:rsidRDefault="009D1785" w:rsidP="009D1785">
      <w:pPr>
        <w:pStyle w:val="NormalWeb"/>
        <w:spacing w:before="0" w:beforeAutospacing="0" w:after="200" w:afterAutospacing="0" w:line="360" w:lineRule="auto"/>
        <w:jc w:val="both"/>
        <w:rPr>
          <w:rFonts w:ascii="Arial" w:hAnsi="Arial" w:cs="Arial"/>
          <w:color w:val="000000"/>
        </w:rPr>
      </w:pPr>
    </w:p>
    <w:p w14:paraId="6A5DF7F4" w14:textId="77777777" w:rsidR="0053187A" w:rsidRDefault="0053187A" w:rsidP="009D1785">
      <w:pPr>
        <w:pStyle w:val="NormalWeb"/>
        <w:spacing w:before="0" w:beforeAutospacing="0" w:after="200" w:afterAutospacing="0" w:line="360" w:lineRule="auto"/>
        <w:jc w:val="both"/>
        <w:rPr>
          <w:rFonts w:ascii="Arial" w:hAnsi="Arial" w:cs="Arial"/>
          <w:color w:val="000000"/>
        </w:rPr>
      </w:pPr>
    </w:p>
    <w:p w14:paraId="7EB7086E" w14:textId="77777777" w:rsidR="0053187A" w:rsidRDefault="0053187A" w:rsidP="009D1785">
      <w:pPr>
        <w:pStyle w:val="NormalWeb"/>
        <w:spacing w:before="0" w:beforeAutospacing="0" w:after="200" w:afterAutospacing="0" w:line="360" w:lineRule="auto"/>
        <w:jc w:val="both"/>
        <w:rPr>
          <w:rFonts w:ascii="Arial" w:hAnsi="Arial" w:cs="Arial"/>
          <w:color w:val="000000"/>
        </w:rPr>
      </w:pPr>
    </w:p>
    <w:p w14:paraId="14339F35" w14:textId="695EAD24" w:rsidR="009D791D" w:rsidRPr="0053187A" w:rsidRDefault="009D791D" w:rsidP="009D1785">
      <w:pPr>
        <w:pStyle w:val="NormalWeb"/>
        <w:spacing w:before="0" w:beforeAutospacing="0" w:after="200" w:afterAutospacing="0" w:line="360" w:lineRule="auto"/>
        <w:jc w:val="both"/>
        <w:rPr>
          <w:rFonts w:ascii="Arial" w:hAnsi="Arial" w:cs="Arial"/>
          <w:color w:val="000000"/>
        </w:rPr>
      </w:pPr>
      <w:r w:rsidRPr="009D791D">
        <w:rPr>
          <w:rFonts w:ascii="Arial" w:hAnsi="Arial" w:cs="Arial"/>
          <w:color w:val="000000"/>
        </w:rPr>
        <w:t>sello particular a la disputa entre derecho educativo y mercantilización. Pablo Gentili (2009) analiza la escuela secundaria obligatoria como un campo en tensión entre la inclusión formal y la exclusión simbólica, mientras que también es importante advertir que las trayectorias escolares se convierten en frontera cuando la oferta pedagógica no logra alojar las cronologías reales de aprendizaje de los sectores populares. El concepto de “frontera” se despliega así en tres dimensiones: la frontera estructural, que segmenta el sistema en circuitos de distinta calidad según territorio y clase social; la frontera pedagógica, que opera dentro de las aulas a través del currículum, la evaluación y las expectativas docentes; y la frontera simbólica, que naturaliza el fracaso escolar de ciertos grupos como resultado de supuestas carencias individuales o familiares. La pandemia de 2020-2021 actuó, en este marco, como un revelador brutal de esas fronteras preexistentes, mientras que las políticas del gobierno de Milei —con la degradación del Ministerio de Educación a Secretaría, el recorte presupuestario y el cuestionamiento discursivo a la gratuidad universitaria— parecen empujar al sistema hacia una frontera de desmantelamiento del propio derecho a la educación.</w:t>
      </w:r>
    </w:p>
    <w:p w14:paraId="1B6F645C" w14:textId="77777777" w:rsidR="009D791D" w:rsidRDefault="009D791D" w:rsidP="009D1785">
      <w:pPr>
        <w:pStyle w:val="Ttulo4"/>
        <w:spacing w:before="0" w:after="200" w:line="360" w:lineRule="auto"/>
        <w:jc w:val="both"/>
        <w:rPr>
          <w:rFonts w:ascii="Arial" w:hAnsi="Arial" w:cs="Arial"/>
          <w:i w:val="0"/>
          <w:iCs w:val="0"/>
          <w:color w:val="000000"/>
          <w:sz w:val="24"/>
          <w:szCs w:val="24"/>
          <w:lang w:val="es-AR"/>
        </w:rPr>
      </w:pPr>
    </w:p>
    <w:p w14:paraId="1B69E86D" w14:textId="77777777" w:rsidR="009D791D" w:rsidRPr="009D791D" w:rsidRDefault="009D791D" w:rsidP="009D1785">
      <w:pPr>
        <w:pStyle w:val="Ttulo4"/>
        <w:spacing w:before="0" w:after="200" w:line="360" w:lineRule="auto"/>
        <w:jc w:val="both"/>
        <w:rPr>
          <w:i w:val="0"/>
          <w:iCs w:val="0"/>
          <w:sz w:val="24"/>
          <w:szCs w:val="24"/>
          <w:lang w:val="es-AR"/>
        </w:rPr>
      </w:pPr>
      <w:r w:rsidRPr="009D791D">
        <w:rPr>
          <w:rFonts w:ascii="Arial" w:hAnsi="Arial" w:cs="Arial"/>
          <w:i w:val="0"/>
          <w:iCs w:val="0"/>
          <w:color w:val="000000"/>
          <w:sz w:val="24"/>
          <w:szCs w:val="24"/>
          <w:lang w:val="es-AR"/>
        </w:rPr>
        <w:t>Metodología</w:t>
      </w:r>
    </w:p>
    <w:p w14:paraId="3C300C65" w14:textId="77777777" w:rsidR="0053187A" w:rsidRDefault="009D791D" w:rsidP="009D1785">
      <w:pPr>
        <w:pStyle w:val="NormalWeb"/>
        <w:spacing w:before="0" w:beforeAutospacing="0" w:after="200" w:afterAutospacing="0" w:line="360" w:lineRule="auto"/>
        <w:jc w:val="both"/>
        <w:rPr>
          <w:rFonts w:ascii="Arial" w:hAnsi="Arial" w:cs="Arial"/>
          <w:color w:val="000000"/>
        </w:rPr>
      </w:pPr>
      <w:r w:rsidRPr="009D791D">
        <w:rPr>
          <w:rFonts w:ascii="Arial" w:hAnsi="Arial" w:cs="Arial"/>
          <w:color w:val="000000"/>
        </w:rPr>
        <w:t xml:space="preserve">Se adoptó un diseño cualitativo-documental, centrado en la sistematización de fuentes normativas, indicadores educativos oficiales y producción académica reciente. Las fuentes primarias incluyen la Ley de Educación Nacional 26.206, los presupuestos nacionales 2015-2025 y las resoluciones del Consejo Federal de Educación. Las fuentes secundarias relevadas son los operativos Aprender (2016-2023), los informes del Observatorio de la Deuda Social de la UCA (2015-2024) y los documentos del CIPPEC, UNICEF y CTERA. La bibliografía especializada comprende obras de Puiggrós (1993, 2017), Gentili (2009), Dussel (2020), Filmus (2017) y Redondo (2019), entre otros. El recorte temporal abarca desde enero de 2015 hasta mayo de 2025, lo que permite </w:t>
      </w:r>
    </w:p>
    <w:p w14:paraId="4B5FFE88" w14:textId="77777777" w:rsidR="0053187A" w:rsidRDefault="0053187A" w:rsidP="009D1785">
      <w:pPr>
        <w:pStyle w:val="NormalWeb"/>
        <w:spacing w:before="0" w:beforeAutospacing="0" w:after="200" w:afterAutospacing="0" w:line="360" w:lineRule="auto"/>
        <w:jc w:val="both"/>
        <w:rPr>
          <w:rFonts w:ascii="Arial" w:hAnsi="Arial" w:cs="Arial"/>
          <w:color w:val="000000"/>
        </w:rPr>
      </w:pPr>
    </w:p>
    <w:p w14:paraId="771399EC" w14:textId="77777777" w:rsidR="0053187A" w:rsidRDefault="0053187A" w:rsidP="009D1785">
      <w:pPr>
        <w:pStyle w:val="NormalWeb"/>
        <w:spacing w:before="0" w:beforeAutospacing="0" w:after="200" w:afterAutospacing="0" w:line="360" w:lineRule="auto"/>
        <w:jc w:val="both"/>
        <w:rPr>
          <w:rFonts w:ascii="Arial" w:hAnsi="Arial" w:cs="Arial"/>
          <w:color w:val="000000"/>
        </w:rPr>
      </w:pPr>
    </w:p>
    <w:p w14:paraId="4906709E" w14:textId="3CB4970D" w:rsidR="009D791D" w:rsidRPr="0053187A" w:rsidRDefault="009D791D" w:rsidP="009D1785">
      <w:pPr>
        <w:pStyle w:val="NormalWeb"/>
        <w:spacing w:before="0" w:beforeAutospacing="0" w:after="200" w:afterAutospacing="0" w:line="360" w:lineRule="auto"/>
        <w:jc w:val="both"/>
        <w:rPr>
          <w:rFonts w:ascii="Arial" w:hAnsi="Arial" w:cs="Arial"/>
          <w:color w:val="000000"/>
        </w:rPr>
      </w:pPr>
      <w:r w:rsidRPr="009D791D">
        <w:rPr>
          <w:rFonts w:ascii="Arial" w:hAnsi="Arial" w:cs="Arial"/>
          <w:color w:val="000000"/>
        </w:rPr>
        <w:t>examinar los tres ciclos de gobierno mencionados y los efectos de la emergencia sanitaria en el sistema educativo argentino.</w:t>
      </w:r>
    </w:p>
    <w:p w14:paraId="171B4121" w14:textId="77777777" w:rsidR="009D791D" w:rsidRPr="009D791D" w:rsidRDefault="009D791D" w:rsidP="009D1785">
      <w:pPr>
        <w:pStyle w:val="Ttulo4"/>
        <w:spacing w:before="0" w:after="200" w:line="360" w:lineRule="auto"/>
        <w:jc w:val="both"/>
        <w:rPr>
          <w:i w:val="0"/>
          <w:iCs w:val="0"/>
          <w:sz w:val="24"/>
          <w:szCs w:val="24"/>
          <w:lang w:val="es-AR"/>
        </w:rPr>
      </w:pPr>
      <w:r w:rsidRPr="009D791D">
        <w:rPr>
          <w:rFonts w:ascii="Arial" w:hAnsi="Arial" w:cs="Arial"/>
          <w:i w:val="0"/>
          <w:iCs w:val="0"/>
          <w:color w:val="000000"/>
          <w:sz w:val="24"/>
          <w:szCs w:val="24"/>
          <w:lang w:val="es-AR"/>
        </w:rPr>
        <w:t>Discusiones</w:t>
      </w:r>
    </w:p>
    <w:p w14:paraId="0B9E5FC4" w14:textId="77777777" w:rsidR="009D791D" w:rsidRPr="009D791D" w:rsidRDefault="009D791D" w:rsidP="009D1785">
      <w:pPr>
        <w:pStyle w:val="NormalWeb"/>
        <w:spacing w:before="0" w:beforeAutospacing="0" w:after="200" w:afterAutospacing="0" w:line="360" w:lineRule="auto"/>
        <w:jc w:val="both"/>
      </w:pPr>
      <w:r w:rsidRPr="009D791D">
        <w:rPr>
          <w:rFonts w:ascii="Arial" w:hAnsi="Arial" w:cs="Arial"/>
          <w:color w:val="000000"/>
        </w:rPr>
        <w:t>El análisis de la década permite identificar un movimiento pendular entre la ampliación de oportunidades y la consolidación de fronteras, con avances parciales, retrocesos significativos y desafíos que perduran más allá de los cambios de signo político.</w:t>
      </w:r>
    </w:p>
    <w:p w14:paraId="55CC8E56" w14:textId="77777777" w:rsidR="009D791D" w:rsidRDefault="009D791D" w:rsidP="009D1785">
      <w:pPr>
        <w:pStyle w:val="NormalWeb"/>
        <w:spacing w:before="0" w:beforeAutospacing="0" w:after="200" w:afterAutospacing="0" w:line="360" w:lineRule="auto"/>
        <w:jc w:val="both"/>
        <w:rPr>
          <w:rFonts w:ascii="Arial" w:hAnsi="Arial" w:cs="Arial"/>
          <w:color w:val="000000"/>
        </w:rPr>
      </w:pPr>
      <w:r w:rsidRPr="009D791D">
        <w:rPr>
          <w:rFonts w:ascii="Arial" w:hAnsi="Arial" w:cs="Arial"/>
          <w:b/>
          <w:bCs/>
          <w:color w:val="000000"/>
        </w:rPr>
        <w:t>Avances:</w:t>
      </w:r>
      <w:r w:rsidRPr="009D791D">
        <w:rPr>
          <w:rFonts w:ascii="Arial" w:hAnsi="Arial" w:cs="Arial"/>
          <w:color w:val="000000"/>
        </w:rPr>
        <w:t xml:space="preserve"> Durante el período se sostuvo, con intermitencias, la cobertura cercana a la universalización de la sala de 4 y de la educación secundaria básica, y se registró un crecimiento de la matrícula universitaria, favorecido por la creación de universidades nacionales en distritos antes desatendidos. La Asignación Universal por Hijo, vigente y ampliada en algunos tramos, continuó operando como un piso de protección que favoreció la escolarización de los sectores más vulnerables. En 2020-2021, pese a la interrupción de clases presenciales, se desplegaron plataformas como </w:t>
      </w:r>
      <w:r w:rsidRPr="009D791D">
        <w:rPr>
          <w:rFonts w:ascii="Arial" w:hAnsi="Arial" w:cs="Arial"/>
          <w:i/>
          <w:iCs/>
          <w:color w:val="000000"/>
        </w:rPr>
        <w:t>Seguimos Educando</w:t>
      </w:r>
      <w:r w:rsidRPr="009D791D">
        <w:rPr>
          <w:rFonts w:ascii="Arial" w:hAnsi="Arial" w:cs="Arial"/>
          <w:color w:val="000000"/>
        </w:rPr>
        <w:t xml:space="preserve">, se distribuyeron cuadernillos impresos y se sostuvo un vínculo pedagógico </w:t>
      </w:r>
    </w:p>
    <w:p w14:paraId="1B4F6421" w14:textId="77777777" w:rsidR="009D791D" w:rsidRPr="009D791D" w:rsidRDefault="009D791D" w:rsidP="009D1785">
      <w:pPr>
        <w:pStyle w:val="NormalWeb"/>
        <w:spacing w:before="0" w:beforeAutospacing="0" w:after="200" w:afterAutospacing="0" w:line="360" w:lineRule="auto"/>
        <w:jc w:val="both"/>
      </w:pPr>
      <w:r w:rsidRPr="009D791D">
        <w:rPr>
          <w:rFonts w:ascii="Arial" w:hAnsi="Arial" w:cs="Arial"/>
          <w:color w:val="000000"/>
        </w:rPr>
        <w:t>que evitó un colapso total de la escolarización. La movilización universitaria de abril de 2024, que llenó las calles en defensa de la educación pública, mostró una sociedad que sigue viendo en la escuela y la universidad una oportunidad colectiva que vale la pena defender.</w:t>
      </w:r>
    </w:p>
    <w:p w14:paraId="4FC11197" w14:textId="77777777" w:rsidR="009D791D" w:rsidRPr="009D791D" w:rsidRDefault="009D791D" w:rsidP="009D1785">
      <w:pPr>
        <w:spacing w:line="360" w:lineRule="auto"/>
        <w:jc w:val="both"/>
        <w:rPr>
          <w:sz w:val="24"/>
          <w:szCs w:val="24"/>
          <w:lang w:val="es-AR"/>
        </w:rPr>
      </w:pPr>
    </w:p>
    <w:p w14:paraId="455924D6" w14:textId="77777777" w:rsidR="0053187A" w:rsidRDefault="009D791D" w:rsidP="009D1785">
      <w:pPr>
        <w:pStyle w:val="NormalWeb"/>
        <w:spacing w:before="0" w:beforeAutospacing="0" w:after="200" w:afterAutospacing="0" w:line="360" w:lineRule="auto"/>
        <w:jc w:val="both"/>
        <w:rPr>
          <w:rFonts w:ascii="Arial" w:hAnsi="Arial" w:cs="Arial"/>
          <w:color w:val="000000"/>
        </w:rPr>
      </w:pPr>
      <w:r w:rsidRPr="009D791D">
        <w:rPr>
          <w:rFonts w:ascii="Arial" w:hAnsi="Arial" w:cs="Arial"/>
          <w:b/>
          <w:bCs/>
          <w:color w:val="000000"/>
        </w:rPr>
        <w:t>Retrocesos:</w:t>
      </w:r>
      <w:r w:rsidRPr="009D791D">
        <w:rPr>
          <w:rFonts w:ascii="Arial" w:hAnsi="Arial" w:cs="Arial"/>
          <w:color w:val="000000"/>
        </w:rPr>
        <w:t xml:space="preserve"> La contracara de esos avances es un conjunto de retrocesos que profundizaron las fronteras existentes. La gestión de Cambiemos (2015-2019) aplicó un ajuste fiscal que deterioró el salario docente, desfinanció programas socioeducativos y discontinuó inicialmente el </w:t>
      </w:r>
      <w:r w:rsidRPr="009D791D">
        <w:rPr>
          <w:rFonts w:ascii="Arial" w:hAnsi="Arial" w:cs="Arial"/>
          <w:i/>
          <w:iCs/>
          <w:color w:val="000000"/>
        </w:rPr>
        <w:t>Conectar Igualdad</w:t>
      </w:r>
      <w:r w:rsidRPr="009D791D">
        <w:rPr>
          <w:rFonts w:ascii="Arial" w:hAnsi="Arial" w:cs="Arial"/>
          <w:color w:val="000000"/>
        </w:rPr>
        <w:t xml:space="preserve">. Los operativos </w:t>
      </w:r>
      <w:r w:rsidRPr="009D791D">
        <w:rPr>
          <w:rFonts w:ascii="Arial" w:hAnsi="Arial" w:cs="Arial"/>
          <w:i/>
          <w:iCs/>
          <w:color w:val="000000"/>
        </w:rPr>
        <w:t xml:space="preserve">Aprender </w:t>
      </w:r>
      <w:r w:rsidRPr="009D791D">
        <w:rPr>
          <w:rFonts w:ascii="Arial" w:hAnsi="Arial" w:cs="Arial"/>
          <w:color w:val="000000"/>
        </w:rPr>
        <w:t xml:space="preserve">posteriores confirmaron que la brecha de aprendizajes entre estudiantes del quintil más rico y del más pobre, lejos de achicarse, se estancó en niveles críticos. La pandemia agravó esa </w:t>
      </w:r>
    </w:p>
    <w:p w14:paraId="4371EE1A" w14:textId="77777777" w:rsidR="0053187A" w:rsidRDefault="0053187A" w:rsidP="009D1785">
      <w:pPr>
        <w:pStyle w:val="NormalWeb"/>
        <w:spacing w:before="0" w:beforeAutospacing="0" w:after="200" w:afterAutospacing="0" w:line="360" w:lineRule="auto"/>
        <w:jc w:val="both"/>
        <w:rPr>
          <w:rFonts w:ascii="Arial" w:hAnsi="Arial" w:cs="Arial"/>
          <w:color w:val="000000"/>
        </w:rPr>
      </w:pPr>
    </w:p>
    <w:p w14:paraId="11F2C933" w14:textId="77777777" w:rsidR="0053187A" w:rsidRDefault="0053187A" w:rsidP="009D1785">
      <w:pPr>
        <w:pStyle w:val="NormalWeb"/>
        <w:spacing w:before="0" w:beforeAutospacing="0" w:after="200" w:afterAutospacing="0" w:line="360" w:lineRule="auto"/>
        <w:jc w:val="both"/>
        <w:rPr>
          <w:rFonts w:ascii="Arial" w:hAnsi="Arial" w:cs="Arial"/>
          <w:color w:val="000000"/>
        </w:rPr>
      </w:pPr>
    </w:p>
    <w:p w14:paraId="13DF771B" w14:textId="2A1D6C37" w:rsidR="009D791D" w:rsidRPr="009D791D" w:rsidRDefault="009D791D" w:rsidP="0053187A">
      <w:pPr>
        <w:pStyle w:val="NormalWeb"/>
        <w:spacing w:before="0" w:beforeAutospacing="0" w:after="200" w:afterAutospacing="0" w:line="360" w:lineRule="auto"/>
        <w:jc w:val="both"/>
      </w:pPr>
      <w:r w:rsidRPr="009D791D">
        <w:rPr>
          <w:rFonts w:ascii="Arial" w:hAnsi="Arial" w:cs="Arial"/>
          <w:color w:val="000000"/>
        </w:rPr>
        <w:t>fractura al interrumpir las clases presenciales durante más de un año: UNICEF (2021) estimó que cerca de un millón de estudiantes secundarios vieron debilitado o roto su vínculo con la escuela, y el regreso mostró un aumento de la sobreedad y del abandono en los sectores con menor conectividad y capital cultural. Ya bajo la administración Milei, la degradación del Ministerio a Secretaría y el recorte presupuestario llevaron al borde de la parálisis a programas de formación docente, infraestructura escolar y distribución de recursos pedagógicos, configurando una frontera estatal que, al retirar el soporte material, transforma el derecho proclamado en un privilegio geográfico y de clase.</w:t>
      </w:r>
    </w:p>
    <w:p w14:paraId="7EE8F436" w14:textId="77777777" w:rsidR="009D791D" w:rsidRDefault="009D791D" w:rsidP="009D1785">
      <w:pPr>
        <w:pStyle w:val="NormalWeb"/>
        <w:spacing w:before="0" w:beforeAutospacing="0" w:after="200" w:afterAutospacing="0" w:line="360" w:lineRule="auto"/>
        <w:jc w:val="both"/>
        <w:rPr>
          <w:rFonts w:ascii="Arial" w:hAnsi="Arial" w:cs="Arial"/>
          <w:color w:val="000000"/>
        </w:rPr>
      </w:pPr>
      <w:r w:rsidRPr="009D791D">
        <w:rPr>
          <w:rFonts w:ascii="Arial" w:hAnsi="Arial" w:cs="Arial"/>
          <w:b/>
          <w:bCs/>
          <w:color w:val="000000"/>
        </w:rPr>
        <w:t>Desafíos:</w:t>
      </w:r>
      <w:r w:rsidRPr="009D791D">
        <w:rPr>
          <w:rFonts w:ascii="Arial" w:hAnsi="Arial" w:cs="Arial"/>
          <w:color w:val="000000"/>
        </w:rPr>
        <w:t xml:space="preserve"> El principal desafío sigue siendo que la escuela enseñe contenidos socialmente significativos a todos, sin que el origen defina los resultados. Para ello es necesario repensar la gramática escolar —especialmente la de una escuela secundaria que se volvió obligatoria sin modificar su formato selectivo—, fortalecer la formación docente con enfoque de justicia curricular y garantizar un financiamiento progresivo que asigne más a quienes más necesitan. Otro reto insoslayable es la incorporación crítica </w:t>
      </w:r>
    </w:p>
    <w:p w14:paraId="7F4BA678" w14:textId="77777777" w:rsidR="009D791D" w:rsidRPr="009D791D" w:rsidRDefault="009D791D" w:rsidP="009D1785">
      <w:pPr>
        <w:pStyle w:val="NormalWeb"/>
        <w:spacing w:before="0" w:beforeAutospacing="0" w:after="200" w:afterAutospacing="0" w:line="360" w:lineRule="auto"/>
        <w:jc w:val="both"/>
      </w:pPr>
      <w:r w:rsidRPr="009D791D">
        <w:rPr>
          <w:rFonts w:ascii="Arial" w:hAnsi="Arial" w:cs="Arial"/>
          <w:color w:val="000000"/>
        </w:rPr>
        <w:t>de las tecnologías digitales, que no reemplace el vínculo pedagógico pero que tampoco lo niegue, especialmente después de la aceleración forzada de la pandemia.</w:t>
      </w:r>
    </w:p>
    <w:p w14:paraId="6F214776" w14:textId="77777777" w:rsidR="0053187A" w:rsidRDefault="009D791D" w:rsidP="009D1785">
      <w:pPr>
        <w:pStyle w:val="NormalWeb"/>
        <w:spacing w:before="0" w:beforeAutospacing="0" w:after="200" w:afterAutospacing="0" w:line="360" w:lineRule="auto"/>
        <w:jc w:val="both"/>
        <w:rPr>
          <w:rFonts w:ascii="Arial" w:hAnsi="Arial" w:cs="Arial"/>
          <w:color w:val="000000"/>
        </w:rPr>
      </w:pPr>
      <w:r w:rsidRPr="009D791D">
        <w:rPr>
          <w:rFonts w:ascii="Arial" w:hAnsi="Arial" w:cs="Arial"/>
          <w:b/>
          <w:bCs/>
          <w:color w:val="000000"/>
        </w:rPr>
        <w:t>Oportunidades:</w:t>
      </w:r>
      <w:r w:rsidRPr="009D791D">
        <w:rPr>
          <w:rFonts w:ascii="Arial" w:hAnsi="Arial" w:cs="Arial"/>
          <w:color w:val="000000"/>
        </w:rPr>
        <w:t xml:space="preserve"> Aún en un escenario adverso, se abren oportunidades. La revalorización social de la escuela como espacio de encuentro, contención afectiva y construcción de ciudadanía se fortaleció tras la pandemia. Las experiencias de organización colectiva —desde las cooperadoras hasta las multisectoriales en defensa de la educación pública— muestran que la demanda por una educación igualadora sigue viva. La sanción de la Ley de Financiamiento de la Ciencia y la Tecnología (2021) y el dinamismo de los Institutos Superiores de Formación Docente constituyen plataformas desde las cuales impulsar innovaciones pedagógicas arraigadas en los territorios. El período 2015-2025 deja la enseñanza de que la educación argentina no está condenada a ser solo frontera: cada avance, por modesto que parezca, demuestra que es posible </w:t>
      </w:r>
    </w:p>
    <w:p w14:paraId="4CE36B7F" w14:textId="77777777" w:rsidR="0053187A" w:rsidRDefault="0053187A" w:rsidP="009D1785">
      <w:pPr>
        <w:pStyle w:val="NormalWeb"/>
        <w:spacing w:before="0" w:beforeAutospacing="0" w:after="200" w:afterAutospacing="0" w:line="360" w:lineRule="auto"/>
        <w:jc w:val="both"/>
        <w:rPr>
          <w:rFonts w:ascii="Arial" w:hAnsi="Arial" w:cs="Arial"/>
          <w:color w:val="000000"/>
        </w:rPr>
      </w:pPr>
    </w:p>
    <w:p w14:paraId="4981B697" w14:textId="77777777" w:rsidR="0053187A" w:rsidRDefault="0053187A" w:rsidP="009D1785">
      <w:pPr>
        <w:pStyle w:val="NormalWeb"/>
        <w:spacing w:before="0" w:beforeAutospacing="0" w:after="200" w:afterAutospacing="0" w:line="360" w:lineRule="auto"/>
        <w:jc w:val="both"/>
        <w:rPr>
          <w:rFonts w:ascii="Arial" w:hAnsi="Arial" w:cs="Arial"/>
          <w:color w:val="000000"/>
        </w:rPr>
      </w:pPr>
    </w:p>
    <w:p w14:paraId="143E484D" w14:textId="4B9FB8CF" w:rsidR="009D791D" w:rsidRPr="009D791D" w:rsidRDefault="009D791D" w:rsidP="009D1785">
      <w:pPr>
        <w:pStyle w:val="NormalWeb"/>
        <w:spacing w:before="0" w:beforeAutospacing="0" w:after="200" w:afterAutospacing="0" w:line="360" w:lineRule="auto"/>
        <w:jc w:val="both"/>
      </w:pPr>
      <w:r w:rsidRPr="009D791D">
        <w:rPr>
          <w:rFonts w:ascii="Arial" w:hAnsi="Arial" w:cs="Arial"/>
          <w:color w:val="000000"/>
        </w:rPr>
        <w:t>construir puentes. La tarea pendiente es hacer de esos puentes una política de Estado y no la excepción heroica de algunos sectores sociales.</w:t>
      </w:r>
    </w:p>
    <w:p w14:paraId="34686B72" w14:textId="77777777" w:rsidR="009D791D" w:rsidRPr="009D791D" w:rsidRDefault="009D791D" w:rsidP="009D1785">
      <w:pPr>
        <w:spacing w:line="360" w:lineRule="auto"/>
        <w:jc w:val="both"/>
        <w:rPr>
          <w:sz w:val="24"/>
          <w:szCs w:val="24"/>
          <w:lang w:val="es-AR"/>
        </w:rPr>
      </w:pPr>
    </w:p>
    <w:p w14:paraId="24EEB41B" w14:textId="77777777" w:rsidR="009D791D" w:rsidRPr="009D791D" w:rsidRDefault="009D791D" w:rsidP="009D1785">
      <w:pPr>
        <w:pStyle w:val="Ttulo4"/>
        <w:spacing w:before="0" w:after="200" w:line="360" w:lineRule="auto"/>
        <w:jc w:val="both"/>
        <w:rPr>
          <w:i w:val="0"/>
          <w:iCs w:val="0"/>
          <w:sz w:val="24"/>
          <w:szCs w:val="24"/>
          <w:lang w:val="es-AR"/>
        </w:rPr>
      </w:pPr>
      <w:r w:rsidRPr="009D791D">
        <w:rPr>
          <w:rFonts w:ascii="Arial" w:hAnsi="Arial" w:cs="Arial"/>
          <w:i w:val="0"/>
          <w:iCs w:val="0"/>
          <w:color w:val="000000"/>
          <w:sz w:val="24"/>
          <w:szCs w:val="24"/>
          <w:lang w:val="es-AR"/>
        </w:rPr>
        <w:t>Referencias</w:t>
      </w:r>
    </w:p>
    <w:p w14:paraId="7480326B" w14:textId="77777777" w:rsidR="009D791D" w:rsidRPr="009D791D" w:rsidRDefault="009D791D" w:rsidP="009D1785">
      <w:pPr>
        <w:pStyle w:val="NormalWeb"/>
        <w:spacing w:before="0" w:beforeAutospacing="0" w:after="200" w:afterAutospacing="0" w:line="360" w:lineRule="auto"/>
        <w:jc w:val="both"/>
      </w:pPr>
      <w:r w:rsidRPr="009D791D">
        <w:rPr>
          <w:rFonts w:ascii="Arial" w:hAnsi="Arial" w:cs="Arial"/>
          <w:color w:val="000000"/>
        </w:rPr>
        <w:t>Bourdieu, P. y Passeron, J. C. (1996). La reproducción. Elementos para una teoría del sistema de enseñanza. Buenos Aires: Siglo XXI Editores.</w:t>
      </w:r>
    </w:p>
    <w:p w14:paraId="751B1F11" w14:textId="77777777" w:rsidR="009D791D" w:rsidRPr="009D791D" w:rsidRDefault="009D791D" w:rsidP="009D1785">
      <w:pPr>
        <w:pStyle w:val="NormalWeb"/>
        <w:spacing w:before="0" w:beforeAutospacing="0" w:after="200" w:afterAutospacing="0" w:line="360" w:lineRule="auto"/>
        <w:jc w:val="both"/>
      </w:pPr>
      <w:r w:rsidRPr="009D791D">
        <w:rPr>
          <w:rFonts w:ascii="Arial" w:hAnsi="Arial" w:cs="Arial"/>
          <w:color w:val="000000"/>
        </w:rPr>
        <w:t>Dussel, I. (2020). La clase en pantuflas. En I. Dussel, P. Ferrante y D. Pulfer (comps.), Pensar la educación en tiempos de pandemia . Buenos Aires: UNIPE Editorial Universitaria.</w:t>
      </w:r>
    </w:p>
    <w:p w14:paraId="34AE8CE1" w14:textId="0EAC2522" w:rsidR="009D1785" w:rsidRPr="00474A19" w:rsidRDefault="009D791D" w:rsidP="009D1785">
      <w:pPr>
        <w:pStyle w:val="NormalWeb"/>
        <w:spacing w:before="0" w:beforeAutospacing="0" w:after="200" w:afterAutospacing="0" w:line="360" w:lineRule="auto"/>
        <w:jc w:val="both"/>
      </w:pPr>
      <w:r w:rsidRPr="009D791D">
        <w:rPr>
          <w:rFonts w:ascii="Arial" w:hAnsi="Arial" w:cs="Arial"/>
          <w:color w:val="000000"/>
        </w:rPr>
        <w:t>Filmus, D. (2017). Educar para el mercado. Escuela, universidad y ciencia en la Argentina neoliberal. Buenos Aires: Editorial Octubre.</w:t>
      </w:r>
      <w:bookmarkStart w:id="0" w:name="_GoBack"/>
      <w:bookmarkEnd w:id="0"/>
    </w:p>
    <w:p w14:paraId="4B9AB9DA" w14:textId="4F9C27C5" w:rsidR="009D791D" w:rsidRPr="009D791D" w:rsidRDefault="009D791D" w:rsidP="009D1785">
      <w:pPr>
        <w:pStyle w:val="NormalWeb"/>
        <w:spacing w:before="0" w:beforeAutospacing="0" w:after="200" w:afterAutospacing="0" w:line="360" w:lineRule="auto"/>
        <w:jc w:val="both"/>
      </w:pPr>
      <w:r w:rsidRPr="009D791D">
        <w:rPr>
          <w:rFonts w:ascii="Arial" w:hAnsi="Arial" w:cs="Arial"/>
          <w:color w:val="000000"/>
        </w:rPr>
        <w:t>Puiggrós, A. (1993). De Sarmiento a los Simpsons. Cinco conceptos para pensar la educación contemporánea. Buenos Aires. Ed. Kapeluz, </w:t>
      </w:r>
    </w:p>
    <w:p w14:paraId="09D8C31B" w14:textId="77777777" w:rsidR="009D791D" w:rsidRPr="009D791D" w:rsidRDefault="009D791D" w:rsidP="009D1785">
      <w:pPr>
        <w:pStyle w:val="NormalWeb"/>
        <w:spacing w:before="0" w:beforeAutospacing="0" w:after="200" w:afterAutospacing="0" w:line="360" w:lineRule="auto"/>
        <w:jc w:val="both"/>
      </w:pPr>
      <w:r w:rsidRPr="009D791D">
        <w:rPr>
          <w:rFonts w:ascii="Arial" w:hAnsi="Arial" w:cs="Arial"/>
          <w:color w:val="000000"/>
        </w:rPr>
        <w:t>Puiggrós, A. (2017). Adiós, Sarmiento. Educación pública, iglesia y mercado. Buenos Aires: Colihue.</w:t>
      </w:r>
    </w:p>
    <w:p w14:paraId="5BC18D4B" w14:textId="77777777" w:rsidR="009D791D" w:rsidRPr="009D791D" w:rsidRDefault="009D791D" w:rsidP="009D1785">
      <w:pPr>
        <w:pStyle w:val="NormalWeb"/>
        <w:spacing w:before="0" w:beforeAutospacing="0" w:after="200" w:afterAutospacing="0" w:line="360" w:lineRule="auto"/>
        <w:jc w:val="both"/>
      </w:pPr>
      <w:r w:rsidRPr="009D791D">
        <w:rPr>
          <w:rFonts w:ascii="Arial" w:hAnsi="Arial" w:cs="Arial"/>
          <w:color w:val="000000"/>
          <w:shd w:val="clear" w:color="auto" w:fill="FFFFFF"/>
        </w:rPr>
        <w:t xml:space="preserve"> Peralta, M. (2019). Redondo, Patricia Raquel (2019). La escuela con los pies en el aire : hacer escuela, entre la desigualdad y la emancipación. Núcleo de Estudos de Filosofias e Infâncias (NEFI) de la Universidad Federal de Río de Janeiro. </w:t>
      </w:r>
      <w:r w:rsidRPr="009D791D">
        <w:rPr>
          <w:rFonts w:ascii="Arial" w:hAnsi="Arial" w:cs="Arial"/>
          <w:i/>
          <w:iCs/>
          <w:color w:val="000000"/>
          <w:shd w:val="clear" w:color="auto" w:fill="FFFFFF"/>
        </w:rPr>
        <w:t>Archivos de Ciencias de la Educación 13</w:t>
      </w:r>
      <w:r w:rsidRPr="009D791D">
        <w:rPr>
          <w:rFonts w:ascii="Arial" w:hAnsi="Arial" w:cs="Arial"/>
          <w:color w:val="000000"/>
          <w:shd w:val="clear" w:color="auto" w:fill="FFFFFF"/>
        </w:rPr>
        <w:t>(16), Artículo e077</w:t>
      </w:r>
      <w:r w:rsidRPr="009D791D">
        <w:rPr>
          <w:rFonts w:ascii="Arial" w:hAnsi="Arial" w:cs="Arial"/>
          <w:color w:val="000000"/>
        </w:rPr>
        <w:t> </w:t>
      </w:r>
    </w:p>
    <w:p w14:paraId="2B564FB6" w14:textId="77777777" w:rsidR="009D791D" w:rsidRPr="009D791D" w:rsidRDefault="009D791D" w:rsidP="009D1785">
      <w:pPr>
        <w:pStyle w:val="NormalWeb"/>
        <w:spacing w:before="0" w:beforeAutospacing="0" w:after="200" w:afterAutospacing="0" w:line="360" w:lineRule="auto"/>
        <w:jc w:val="both"/>
      </w:pPr>
      <w:r w:rsidRPr="009D791D">
        <w:rPr>
          <w:rFonts w:ascii="Arial" w:hAnsi="Arial" w:cs="Arial"/>
          <w:color w:val="000000"/>
        </w:rPr>
        <w:t>Gentili, P. (2009). Marchas y contramarchas: El derecho a la educación y las dinámicas de exclusión incluyente en América Latina (a sesenta años de la Declaración Universal de los Derechos Humanos). Revista Iberoamericana de Educación, (49) </w:t>
      </w:r>
    </w:p>
    <w:p w14:paraId="293CCE50" w14:textId="77777777" w:rsidR="00C749E0" w:rsidRPr="009D791D" w:rsidRDefault="00C749E0" w:rsidP="009D1785">
      <w:pPr>
        <w:spacing w:line="360" w:lineRule="auto"/>
        <w:jc w:val="both"/>
        <w:rPr>
          <w:sz w:val="24"/>
          <w:szCs w:val="24"/>
          <w:lang w:val="es-AR"/>
        </w:rPr>
      </w:pPr>
    </w:p>
    <w:sectPr w:rsidR="00C749E0" w:rsidRPr="009D791D" w:rsidSect="009D1785">
      <w:headerReference w:type="default" r:id="rId8"/>
      <w:footerReference w:type="default" r:id="rId9"/>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37269D" w14:textId="77777777" w:rsidR="00BB275A" w:rsidRDefault="00BB275A" w:rsidP="00414A02">
      <w:pPr>
        <w:spacing w:after="0" w:line="240" w:lineRule="auto"/>
      </w:pPr>
      <w:r>
        <w:separator/>
      </w:r>
    </w:p>
  </w:endnote>
  <w:endnote w:type="continuationSeparator" w:id="0">
    <w:p w14:paraId="311949D8" w14:textId="77777777" w:rsidR="00BB275A" w:rsidRDefault="00BB275A" w:rsidP="0041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1695A5"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Instituto de la Educación y del Conocimiento</w:t>
    </w:r>
  </w:p>
  <w:p w14:paraId="707793F6"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Universidad Nacional de Tierra del Fuego, Antártida e Islas del Atlántico Sur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3D0C23" w14:textId="77777777" w:rsidR="00BB275A" w:rsidRDefault="00BB275A" w:rsidP="00414A02">
      <w:pPr>
        <w:spacing w:after="0" w:line="240" w:lineRule="auto"/>
      </w:pPr>
      <w:r>
        <w:separator/>
      </w:r>
    </w:p>
  </w:footnote>
  <w:footnote w:type="continuationSeparator" w:id="0">
    <w:p w14:paraId="23BE3E80" w14:textId="77777777" w:rsidR="00BB275A" w:rsidRDefault="00BB275A" w:rsidP="00414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CD1F1" w14:textId="77777777" w:rsidR="00414A02" w:rsidRDefault="00414A02">
    <w:pPr>
      <w:pStyle w:val="Encabezado"/>
    </w:pPr>
    <w:r>
      <w:rPr>
        <w:noProof/>
      </w:rPr>
      <w:drawing>
        <wp:anchor distT="0" distB="0" distL="114300" distR="114300" simplePos="0" relativeHeight="251658240" behindDoc="1" locked="0" layoutInCell="1" allowOverlap="1" wp14:anchorId="4A06CAB2" wp14:editId="019AE25D">
          <wp:simplePos x="0" y="0"/>
          <wp:positionH relativeFrom="column">
            <wp:posOffset>909569</wp:posOffset>
          </wp:positionH>
          <wp:positionV relativeFrom="paragraph">
            <wp:posOffset>-125095</wp:posOffset>
          </wp:positionV>
          <wp:extent cx="4332605" cy="1246505"/>
          <wp:effectExtent l="0" t="0" r="0" b="0"/>
          <wp:wrapTight wrapText="bothSides">
            <wp:wrapPolygon edited="0">
              <wp:start x="0" y="0"/>
              <wp:lineTo x="0" y="21347"/>
              <wp:lineTo x="21527" y="21347"/>
              <wp:lineTo x="21527" y="0"/>
              <wp:lineTo x="0" y="0"/>
            </wp:wrapPolygon>
          </wp:wrapTight>
          <wp:docPr id="1975643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43229" name="Imagen 1975643229"/>
                  <pic:cNvPicPr/>
                </pic:nvPicPr>
                <pic:blipFill>
                  <a:blip r:embed="rId1"/>
                  <a:stretch>
                    <a:fillRect/>
                  </a:stretch>
                </pic:blipFill>
                <pic:spPr>
                  <a:xfrm>
                    <a:off x="0" y="0"/>
                    <a:ext cx="4332605" cy="12465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4957"/>
    <w:rsid w:val="0015074B"/>
    <w:rsid w:val="001F3540"/>
    <w:rsid w:val="0029639D"/>
    <w:rsid w:val="00326F90"/>
    <w:rsid w:val="00414A02"/>
    <w:rsid w:val="00474A19"/>
    <w:rsid w:val="00494877"/>
    <w:rsid w:val="0053187A"/>
    <w:rsid w:val="007243A5"/>
    <w:rsid w:val="009D1785"/>
    <w:rsid w:val="009D3710"/>
    <w:rsid w:val="009D791D"/>
    <w:rsid w:val="00AA1D8D"/>
    <w:rsid w:val="00B47730"/>
    <w:rsid w:val="00BB275A"/>
    <w:rsid w:val="00C749E0"/>
    <w:rsid w:val="00CB0664"/>
    <w:rsid w:val="00D2085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CD6C21"/>
  <w14:defaultImageDpi w14:val="300"/>
  <w15:docId w15:val="{3A7B557F-23BD-9945-86C9-678F21FD8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 w:type="paragraph" w:styleId="NormalWeb">
    <w:name w:val="Normal (Web)"/>
    <w:basedOn w:val="Normal"/>
    <w:uiPriority w:val="99"/>
    <w:unhideWhenUsed/>
    <w:rsid w:val="001F3540"/>
    <w:pPr>
      <w:spacing w:before="100" w:beforeAutospacing="1" w:after="100" w:afterAutospacing="1" w:line="240" w:lineRule="auto"/>
    </w:pPr>
    <w:rPr>
      <w:rFonts w:ascii="Times New Roman" w:eastAsia="Times New Roman" w:hAnsi="Times New Roman" w:cs="Times New Roman"/>
      <w:sz w:val="24"/>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6655602">
      <w:bodyDiv w:val="1"/>
      <w:marLeft w:val="0"/>
      <w:marRight w:val="0"/>
      <w:marTop w:val="0"/>
      <w:marBottom w:val="0"/>
      <w:divBdr>
        <w:top w:val="none" w:sz="0" w:space="0" w:color="auto"/>
        <w:left w:val="none" w:sz="0" w:space="0" w:color="auto"/>
        <w:bottom w:val="none" w:sz="0" w:space="0" w:color="auto"/>
        <w:right w:val="none" w:sz="0" w:space="0" w:color="auto"/>
      </w:divBdr>
    </w:div>
    <w:div w:id="7820440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D9561-0A46-4E74-894B-8069F3D42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1482</Words>
  <Characters>8153</Characters>
  <Application>Microsoft Office Word</Application>
  <DocSecurity>0</DocSecurity>
  <Lines>67</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9616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gabypablo1007@outlook.es</cp:lastModifiedBy>
  <cp:revision>4</cp:revision>
  <dcterms:created xsi:type="dcterms:W3CDTF">2026-05-26T02:58:00Z</dcterms:created>
  <dcterms:modified xsi:type="dcterms:W3CDTF">2026-05-26T03:01:00Z</dcterms:modified>
  <cp:category/>
</cp:coreProperties>
</file>