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07675" w14:textId="63F0A77B" w:rsidR="00785798" w:rsidRPr="004B42B1" w:rsidRDefault="00785798" w:rsidP="004B42B1">
      <w:pPr>
        <w:spacing w:line="360" w:lineRule="auto"/>
        <w:jc w:val="center"/>
        <w:rPr>
          <w:b/>
          <w:szCs w:val="24"/>
          <w:shd w:val="clear" w:color="auto" w:fill="FFFFFF"/>
        </w:rPr>
      </w:pPr>
      <w:r w:rsidRPr="004B42B1">
        <w:rPr>
          <w:b/>
          <w:szCs w:val="24"/>
          <w:shd w:val="clear" w:color="auto" w:fill="FFFFFF"/>
        </w:rPr>
        <w:t xml:space="preserve">ANÁLISIS DEL RENDIMIENTO ACADÉMICO DE LOS ALUMNOS DE </w:t>
      </w:r>
      <w:r w:rsidR="009A522B" w:rsidRPr="004B42B1">
        <w:rPr>
          <w:b/>
          <w:szCs w:val="24"/>
          <w:shd w:val="clear" w:color="auto" w:fill="FFFFFF"/>
        </w:rPr>
        <w:t>MATEMÁTICA FINANCIERA Y ACTUARIAL DE LA UNVM</w:t>
      </w:r>
      <w:r w:rsidR="003D64A1" w:rsidRPr="004B42B1">
        <w:rPr>
          <w:b/>
          <w:szCs w:val="24"/>
          <w:shd w:val="clear" w:color="auto" w:fill="FFFFFF"/>
        </w:rPr>
        <w:t xml:space="preserve"> </w:t>
      </w:r>
      <w:r w:rsidRPr="004B42B1">
        <w:rPr>
          <w:b/>
          <w:szCs w:val="24"/>
          <w:shd w:val="clear" w:color="auto" w:fill="FFFFFF"/>
        </w:rPr>
        <w:t xml:space="preserve">EN </w:t>
      </w:r>
      <w:r w:rsidR="009A72C9" w:rsidRPr="004B42B1">
        <w:rPr>
          <w:b/>
          <w:szCs w:val="24"/>
          <w:shd w:val="clear" w:color="auto" w:fill="FFFFFF"/>
        </w:rPr>
        <w:t>EL PERÍODO DE EXCEPCIONALIDAD PEDAGÓGICA (AÑOS 2020 Y 2021)</w:t>
      </w:r>
    </w:p>
    <w:p w14:paraId="34F7EAD2" w14:textId="77777777" w:rsidR="007A3FBF" w:rsidRPr="004B42B1" w:rsidRDefault="007A3FBF" w:rsidP="004B42B1">
      <w:pPr>
        <w:spacing w:line="360" w:lineRule="auto"/>
        <w:jc w:val="center"/>
        <w:rPr>
          <w:szCs w:val="24"/>
        </w:rPr>
      </w:pPr>
      <w:r w:rsidRPr="004B42B1">
        <w:rPr>
          <w:szCs w:val="24"/>
        </w:rPr>
        <w:t>Eje temático:</w:t>
      </w:r>
    </w:p>
    <w:p w14:paraId="25F83975" w14:textId="7EFE6290" w:rsidR="007A3FBF" w:rsidRPr="004B42B1" w:rsidRDefault="007A3FBF" w:rsidP="004B42B1">
      <w:pPr>
        <w:spacing w:line="360" w:lineRule="auto"/>
        <w:jc w:val="center"/>
        <w:rPr>
          <w:szCs w:val="24"/>
        </w:rPr>
      </w:pPr>
      <w:r w:rsidRPr="004B42B1">
        <w:rPr>
          <w:szCs w:val="24"/>
        </w:rPr>
        <w:t>Eje 1</w:t>
      </w:r>
      <w:r w:rsidR="003D64A1" w:rsidRPr="004B42B1">
        <w:rPr>
          <w:szCs w:val="24"/>
        </w:rPr>
        <w:t>6</w:t>
      </w:r>
      <w:r w:rsidRPr="004B42B1">
        <w:rPr>
          <w:szCs w:val="24"/>
        </w:rPr>
        <w:t>: Otr</w:t>
      </w:r>
      <w:r w:rsidR="003D64A1" w:rsidRPr="004B42B1">
        <w:rPr>
          <w:szCs w:val="24"/>
        </w:rPr>
        <w:t>as propuestas e investigaciones de las disciplinas económicas.</w:t>
      </w:r>
    </w:p>
    <w:p w14:paraId="3EC0F5B3" w14:textId="00181A97" w:rsidR="007A3FBF" w:rsidRPr="004B42B1" w:rsidRDefault="007A3FBF" w:rsidP="004B42B1">
      <w:pPr>
        <w:spacing w:line="360" w:lineRule="auto"/>
        <w:jc w:val="center"/>
        <w:rPr>
          <w:szCs w:val="24"/>
        </w:rPr>
      </w:pPr>
      <w:r w:rsidRPr="004B42B1">
        <w:rPr>
          <w:szCs w:val="24"/>
        </w:rPr>
        <w:t>Autoras:</w:t>
      </w:r>
    </w:p>
    <w:p w14:paraId="0B9EB6B6" w14:textId="77777777" w:rsidR="007A3FBF" w:rsidRPr="004B42B1" w:rsidRDefault="007A3FBF" w:rsidP="004B42B1">
      <w:pPr>
        <w:spacing w:line="360" w:lineRule="auto"/>
        <w:jc w:val="center"/>
        <w:rPr>
          <w:b/>
          <w:szCs w:val="24"/>
        </w:rPr>
      </w:pPr>
      <w:proofErr w:type="spellStart"/>
      <w:r w:rsidRPr="004B42B1">
        <w:rPr>
          <w:b/>
          <w:szCs w:val="24"/>
        </w:rPr>
        <w:t>Ficco</w:t>
      </w:r>
      <w:proofErr w:type="spellEnd"/>
      <w:r w:rsidRPr="004B42B1">
        <w:rPr>
          <w:b/>
          <w:szCs w:val="24"/>
        </w:rPr>
        <w:t>, Cecilia</w:t>
      </w:r>
    </w:p>
    <w:p w14:paraId="62D4200F" w14:textId="77777777" w:rsidR="007A3FBF" w:rsidRPr="004B42B1" w:rsidRDefault="007A3FBF" w:rsidP="004B42B1">
      <w:pPr>
        <w:spacing w:line="360" w:lineRule="auto"/>
        <w:jc w:val="center"/>
        <w:rPr>
          <w:szCs w:val="24"/>
        </w:rPr>
      </w:pPr>
      <w:r w:rsidRPr="004B42B1">
        <w:rPr>
          <w:szCs w:val="24"/>
        </w:rPr>
        <w:t>Instituto Académico Pedagógico de Ciencias Sociales - Universidad Nacional de Villa María</w:t>
      </w:r>
    </w:p>
    <w:p w14:paraId="7EDEC546" w14:textId="77777777" w:rsidR="007A3FBF" w:rsidRPr="004B42B1" w:rsidRDefault="007A3FBF" w:rsidP="004B42B1">
      <w:pPr>
        <w:spacing w:line="360" w:lineRule="auto"/>
        <w:jc w:val="center"/>
        <w:rPr>
          <w:szCs w:val="24"/>
        </w:rPr>
      </w:pPr>
      <w:r w:rsidRPr="004B42B1">
        <w:rPr>
          <w:szCs w:val="24"/>
        </w:rPr>
        <w:t>Av. Arturo Jauretche 1555 - Villa María, Córdoba</w:t>
      </w:r>
    </w:p>
    <w:p w14:paraId="434308DD" w14:textId="77777777" w:rsidR="007A3FBF" w:rsidRPr="004B42B1" w:rsidRDefault="007A3FBF" w:rsidP="004B42B1">
      <w:pPr>
        <w:spacing w:line="360" w:lineRule="auto"/>
        <w:jc w:val="center"/>
        <w:rPr>
          <w:szCs w:val="24"/>
        </w:rPr>
      </w:pPr>
      <w:r w:rsidRPr="004B42B1">
        <w:rPr>
          <w:szCs w:val="24"/>
        </w:rPr>
        <w:t>e-mail: ceciliaficco@yahoo.com.ar</w:t>
      </w:r>
    </w:p>
    <w:p w14:paraId="7DB7D8A1" w14:textId="77777777" w:rsidR="007A3FBF" w:rsidRPr="004B42B1" w:rsidRDefault="007A3FBF" w:rsidP="004B42B1">
      <w:pPr>
        <w:spacing w:line="360" w:lineRule="auto"/>
        <w:jc w:val="center"/>
        <w:rPr>
          <w:b/>
          <w:szCs w:val="24"/>
        </w:rPr>
      </w:pPr>
      <w:r w:rsidRPr="004B42B1">
        <w:rPr>
          <w:b/>
          <w:szCs w:val="24"/>
        </w:rPr>
        <w:t>Musa, Patricia</w:t>
      </w:r>
    </w:p>
    <w:p w14:paraId="10FE8A3C" w14:textId="77777777" w:rsidR="007A3FBF" w:rsidRPr="004B42B1" w:rsidRDefault="007A3FBF" w:rsidP="004B42B1">
      <w:pPr>
        <w:spacing w:line="360" w:lineRule="auto"/>
        <w:jc w:val="center"/>
        <w:rPr>
          <w:szCs w:val="24"/>
        </w:rPr>
      </w:pPr>
      <w:r w:rsidRPr="004B42B1">
        <w:rPr>
          <w:szCs w:val="24"/>
        </w:rPr>
        <w:t>Instituto Académico Pedagógico de Ciencias Sociales - Universidad Nacional de Villa María</w:t>
      </w:r>
    </w:p>
    <w:p w14:paraId="1009C916" w14:textId="77777777" w:rsidR="007A3FBF" w:rsidRPr="004B42B1" w:rsidRDefault="007A3FBF" w:rsidP="004B42B1">
      <w:pPr>
        <w:spacing w:line="360" w:lineRule="auto"/>
        <w:jc w:val="center"/>
        <w:rPr>
          <w:szCs w:val="24"/>
        </w:rPr>
      </w:pPr>
      <w:r w:rsidRPr="004B42B1">
        <w:rPr>
          <w:szCs w:val="24"/>
        </w:rPr>
        <w:t>Av. Arturo Jauretche 1555 - Villa María, Córdoba</w:t>
      </w:r>
    </w:p>
    <w:p w14:paraId="627407B0" w14:textId="77777777" w:rsidR="007A3FBF" w:rsidRPr="004B42B1" w:rsidRDefault="007A3FBF" w:rsidP="004B42B1">
      <w:pPr>
        <w:spacing w:line="360" w:lineRule="auto"/>
        <w:jc w:val="center"/>
        <w:rPr>
          <w:szCs w:val="24"/>
        </w:rPr>
      </w:pPr>
      <w:r w:rsidRPr="004B42B1">
        <w:rPr>
          <w:szCs w:val="24"/>
        </w:rPr>
        <w:t xml:space="preserve">e-mail: </w:t>
      </w:r>
      <w:r w:rsidRPr="004B42B1">
        <w:rPr>
          <w:color w:val="000000"/>
          <w:szCs w:val="24"/>
          <w:shd w:val="clear" w:color="auto" w:fill="FFFFFF"/>
        </w:rPr>
        <w:t>patricia_musa@hotmail.com</w:t>
      </w:r>
    </w:p>
    <w:p w14:paraId="1857DBB5" w14:textId="77777777" w:rsidR="007A3FBF" w:rsidRPr="004B42B1" w:rsidRDefault="007A3FBF" w:rsidP="004B42B1">
      <w:pPr>
        <w:spacing w:line="360" w:lineRule="auto"/>
        <w:rPr>
          <w:rFonts w:eastAsiaTheme="minorEastAsia"/>
          <w:b/>
          <w:szCs w:val="24"/>
          <w:lang w:eastAsia="ja-JP"/>
        </w:rPr>
      </w:pPr>
    </w:p>
    <w:p w14:paraId="7D947063" w14:textId="0DF4B994" w:rsidR="007A3FBF" w:rsidRPr="004B42B1" w:rsidRDefault="007A3FBF" w:rsidP="004B42B1">
      <w:pPr>
        <w:spacing w:line="360" w:lineRule="auto"/>
        <w:jc w:val="both"/>
        <w:rPr>
          <w:b/>
          <w:szCs w:val="24"/>
        </w:rPr>
      </w:pPr>
      <w:r w:rsidRPr="004B42B1">
        <w:rPr>
          <w:b/>
          <w:szCs w:val="24"/>
        </w:rPr>
        <w:t>RESUMEN</w:t>
      </w:r>
    </w:p>
    <w:p w14:paraId="5F20CA56" w14:textId="310E5896" w:rsidR="00FC738A" w:rsidRDefault="006A6EAC" w:rsidP="004B42B1">
      <w:pPr>
        <w:pStyle w:val="BarraTitulo"/>
        <w:pBdr>
          <w:top w:val="none" w:sz="0" w:space="0" w:color="auto"/>
          <w:left w:val="none" w:sz="0" w:space="0" w:color="auto"/>
          <w:bottom w:val="none" w:sz="0" w:space="0" w:color="auto"/>
          <w:right w:val="none" w:sz="0" w:space="0" w:color="auto"/>
        </w:pBdr>
        <w:spacing w:line="360" w:lineRule="auto"/>
        <w:jc w:val="both"/>
        <w:rPr>
          <w:rFonts w:eastAsiaTheme="minorEastAsia"/>
          <w:b w:val="0"/>
          <w:szCs w:val="24"/>
          <w:highlight w:val="yellow"/>
          <w:lang w:eastAsia="ja-JP"/>
        </w:rPr>
      </w:pPr>
      <w:r w:rsidRPr="004B42B1">
        <w:rPr>
          <w:rFonts w:eastAsiaTheme="minorEastAsia"/>
          <w:b w:val="0"/>
          <w:szCs w:val="24"/>
          <w:lang w:eastAsia="ja-JP"/>
        </w:rPr>
        <w:t>En</w:t>
      </w:r>
      <w:r w:rsidR="003D64A1" w:rsidRPr="004B42B1">
        <w:rPr>
          <w:rFonts w:eastAsiaTheme="minorEastAsia"/>
          <w:b w:val="0"/>
          <w:szCs w:val="24"/>
          <w:lang w:eastAsia="ja-JP"/>
        </w:rPr>
        <w:t xml:space="preserve"> esta ponencia</w:t>
      </w:r>
      <w:r w:rsidRPr="004B42B1">
        <w:rPr>
          <w:rFonts w:eastAsiaTheme="minorEastAsia"/>
          <w:b w:val="0"/>
          <w:szCs w:val="24"/>
          <w:lang w:eastAsia="ja-JP"/>
        </w:rPr>
        <w:t xml:space="preserve"> se</w:t>
      </w:r>
      <w:r w:rsidR="003D64A1" w:rsidRPr="004B42B1">
        <w:rPr>
          <w:rFonts w:eastAsiaTheme="minorEastAsia"/>
          <w:b w:val="0"/>
          <w:szCs w:val="24"/>
          <w:lang w:eastAsia="ja-JP"/>
        </w:rPr>
        <w:t xml:space="preserve"> </w:t>
      </w:r>
      <w:r w:rsidR="00D11EB1" w:rsidRPr="004B42B1">
        <w:rPr>
          <w:rFonts w:eastAsiaTheme="minorEastAsia"/>
          <w:b w:val="0"/>
          <w:szCs w:val="24"/>
          <w:lang w:eastAsia="ja-JP"/>
        </w:rPr>
        <w:t>presenta</w:t>
      </w:r>
      <w:r w:rsidRPr="004B42B1">
        <w:rPr>
          <w:rFonts w:eastAsiaTheme="minorEastAsia"/>
          <w:b w:val="0"/>
          <w:szCs w:val="24"/>
          <w:lang w:eastAsia="ja-JP"/>
        </w:rPr>
        <w:t>n</w:t>
      </w:r>
      <w:r w:rsidR="00D11EB1" w:rsidRPr="004B42B1">
        <w:rPr>
          <w:rFonts w:eastAsiaTheme="minorEastAsia"/>
          <w:b w:val="0"/>
          <w:szCs w:val="24"/>
          <w:lang w:eastAsia="ja-JP"/>
        </w:rPr>
        <w:t xml:space="preserve"> los resultados de un estudio que </w:t>
      </w:r>
      <w:r w:rsidR="003D64A1" w:rsidRPr="004B42B1">
        <w:rPr>
          <w:rFonts w:eastAsiaTheme="minorEastAsia"/>
          <w:b w:val="0"/>
          <w:szCs w:val="24"/>
          <w:lang w:eastAsia="ja-JP"/>
        </w:rPr>
        <w:t xml:space="preserve">tiene </w:t>
      </w:r>
      <w:r w:rsidR="009A72C9" w:rsidRPr="004B42B1">
        <w:rPr>
          <w:rFonts w:eastAsiaTheme="minorEastAsia"/>
          <w:b w:val="0"/>
          <w:szCs w:val="24"/>
          <w:lang w:eastAsia="ja-JP"/>
        </w:rPr>
        <w:t>como</w:t>
      </w:r>
      <w:r w:rsidR="0077479B" w:rsidRPr="004B42B1">
        <w:rPr>
          <w:rFonts w:eastAsiaTheme="minorEastAsia"/>
          <w:b w:val="0"/>
          <w:szCs w:val="24"/>
          <w:lang w:eastAsia="ja-JP"/>
        </w:rPr>
        <w:t xml:space="preserve"> objetivo </w:t>
      </w:r>
      <w:r w:rsidR="009A72C9" w:rsidRPr="004B42B1">
        <w:rPr>
          <w:rFonts w:eastAsiaTheme="minorEastAsia"/>
          <w:b w:val="0"/>
          <w:szCs w:val="24"/>
          <w:lang w:eastAsia="ja-JP"/>
        </w:rPr>
        <w:t>fundam</w:t>
      </w:r>
      <w:r w:rsidR="0077479B" w:rsidRPr="004B42B1">
        <w:rPr>
          <w:rFonts w:eastAsiaTheme="minorEastAsia"/>
          <w:b w:val="0"/>
          <w:szCs w:val="24"/>
          <w:lang w:eastAsia="ja-JP"/>
        </w:rPr>
        <w:t>en</w:t>
      </w:r>
      <w:r w:rsidR="009A72C9" w:rsidRPr="004B42B1">
        <w:rPr>
          <w:rFonts w:eastAsiaTheme="minorEastAsia"/>
          <w:b w:val="0"/>
          <w:szCs w:val="24"/>
          <w:lang w:eastAsia="ja-JP"/>
        </w:rPr>
        <w:t>tal</w:t>
      </w:r>
      <w:r w:rsidR="003D64A1" w:rsidRPr="004B42B1">
        <w:rPr>
          <w:rFonts w:eastAsiaTheme="minorEastAsia"/>
          <w:b w:val="0"/>
          <w:szCs w:val="24"/>
          <w:lang w:eastAsia="ja-JP"/>
        </w:rPr>
        <w:t xml:space="preserve"> </w:t>
      </w:r>
      <w:r w:rsidR="009A72C9" w:rsidRPr="004B42B1">
        <w:rPr>
          <w:rFonts w:eastAsiaTheme="minorEastAsia"/>
          <w:b w:val="0"/>
          <w:szCs w:val="24"/>
          <w:lang w:eastAsia="ja-JP"/>
        </w:rPr>
        <w:t xml:space="preserve">analizar el rendimiento de los estudiantes de “Matemática Financiera y Actuarial”, del Instituto Académico Pedagógico de Ciencias Sociales de la Universidad Nacional de Villa María, que cursaron la asignatura en el primer cuatrimestre de los años 2020 y 2021, es decir, en el período de excepcionalidad pedagógica dispuesto a raíz de la emergencia sanitaria producida por el COVID-19. En el marco de este análisis se </w:t>
      </w:r>
      <w:r w:rsidR="005D0814" w:rsidRPr="004B42B1">
        <w:rPr>
          <w:rFonts w:eastAsiaTheme="minorEastAsia"/>
          <w:b w:val="0"/>
          <w:szCs w:val="24"/>
          <w:lang w:eastAsia="ja-JP"/>
        </w:rPr>
        <w:t>realiza una comparación con el rendimiento logrado en la asignatura por parte de los estudiantes cursantes en los</w:t>
      </w:r>
      <w:r w:rsidR="005C5863" w:rsidRPr="004B42B1">
        <w:rPr>
          <w:rFonts w:eastAsiaTheme="minorEastAsia"/>
          <w:b w:val="0"/>
          <w:szCs w:val="24"/>
          <w:lang w:eastAsia="ja-JP"/>
        </w:rPr>
        <w:t xml:space="preserve"> dos</w:t>
      </w:r>
      <w:r w:rsidR="005D0814" w:rsidRPr="004B42B1">
        <w:rPr>
          <w:rFonts w:eastAsiaTheme="minorEastAsia"/>
          <w:b w:val="0"/>
          <w:szCs w:val="24"/>
          <w:lang w:eastAsia="ja-JP"/>
        </w:rPr>
        <w:t xml:space="preserve"> años previos a dicho período</w:t>
      </w:r>
      <w:r w:rsidR="0077479B" w:rsidRPr="004B42B1">
        <w:rPr>
          <w:rFonts w:eastAsiaTheme="minorEastAsia"/>
          <w:b w:val="0"/>
          <w:szCs w:val="24"/>
          <w:lang w:eastAsia="ja-JP"/>
        </w:rPr>
        <w:t>.</w:t>
      </w:r>
      <w:r w:rsidR="005D0814" w:rsidRPr="004B42B1">
        <w:rPr>
          <w:rFonts w:eastAsiaTheme="minorEastAsia"/>
          <w:b w:val="0"/>
          <w:szCs w:val="24"/>
          <w:lang w:eastAsia="ja-JP"/>
        </w:rPr>
        <w:t xml:space="preserve">  </w:t>
      </w:r>
      <w:r w:rsidR="00260776" w:rsidRPr="004B42B1">
        <w:rPr>
          <w:rFonts w:eastAsiaTheme="minorEastAsia"/>
          <w:b w:val="0"/>
          <w:szCs w:val="24"/>
          <w:lang w:eastAsia="ja-JP"/>
        </w:rPr>
        <w:t>Desde el punto de vista metodológico, se realizó una investigación no experimental, en la que se uti</w:t>
      </w:r>
      <w:r w:rsidR="005C5863" w:rsidRPr="004B42B1">
        <w:rPr>
          <w:rFonts w:eastAsiaTheme="minorEastAsia"/>
          <w:b w:val="0"/>
          <w:szCs w:val="24"/>
          <w:lang w:eastAsia="ja-JP"/>
        </w:rPr>
        <w:t xml:space="preserve">lizó como principal </w:t>
      </w:r>
      <w:r w:rsidR="00785798" w:rsidRPr="004B42B1">
        <w:rPr>
          <w:rFonts w:eastAsiaTheme="minorEastAsia"/>
          <w:b w:val="0"/>
          <w:szCs w:val="24"/>
          <w:lang w:eastAsia="ja-JP"/>
        </w:rPr>
        <w:t>fuente para la reco</w:t>
      </w:r>
      <w:r w:rsidR="00260776" w:rsidRPr="004B42B1">
        <w:rPr>
          <w:rFonts w:eastAsiaTheme="minorEastAsia"/>
          <w:b w:val="0"/>
          <w:szCs w:val="24"/>
          <w:lang w:eastAsia="ja-JP"/>
        </w:rPr>
        <w:t xml:space="preserve">lección de </w:t>
      </w:r>
      <w:r w:rsidR="005C5863" w:rsidRPr="004B42B1">
        <w:rPr>
          <w:rFonts w:eastAsiaTheme="minorEastAsia"/>
          <w:b w:val="0"/>
          <w:szCs w:val="24"/>
          <w:lang w:eastAsia="ja-JP"/>
        </w:rPr>
        <w:t xml:space="preserve">datos </w:t>
      </w:r>
      <w:r w:rsidR="0077479B" w:rsidRPr="004B42B1">
        <w:rPr>
          <w:rFonts w:eastAsiaTheme="minorEastAsia"/>
          <w:b w:val="0"/>
          <w:szCs w:val="24"/>
          <w:lang w:eastAsia="ja-JP"/>
        </w:rPr>
        <w:t>referidos al rendimiento académico de los estudiantes</w:t>
      </w:r>
      <w:r w:rsidR="005C5863" w:rsidRPr="004B42B1">
        <w:rPr>
          <w:rFonts w:eastAsiaTheme="minorEastAsia"/>
          <w:b w:val="0"/>
          <w:szCs w:val="24"/>
          <w:lang w:eastAsia="ja-JP"/>
        </w:rPr>
        <w:t xml:space="preserve">, </w:t>
      </w:r>
      <w:r w:rsidR="0077479B" w:rsidRPr="004B42B1">
        <w:rPr>
          <w:rFonts w:eastAsiaTheme="minorEastAsia"/>
          <w:b w:val="0"/>
          <w:szCs w:val="24"/>
          <w:lang w:eastAsia="ja-JP"/>
        </w:rPr>
        <w:t>las planillas de regularidades y las actas de exámenes finales</w:t>
      </w:r>
      <w:r w:rsidR="004B42B1" w:rsidRPr="004B42B1">
        <w:rPr>
          <w:rFonts w:eastAsiaTheme="minorEastAsia"/>
          <w:b w:val="0"/>
          <w:szCs w:val="24"/>
          <w:lang w:eastAsia="ja-JP"/>
        </w:rPr>
        <w:t>.</w:t>
      </w:r>
      <w:r w:rsidR="0077479B" w:rsidRPr="004B42B1">
        <w:rPr>
          <w:rFonts w:eastAsiaTheme="minorEastAsia"/>
          <w:b w:val="0"/>
          <w:szCs w:val="24"/>
          <w:lang w:eastAsia="ja-JP"/>
        </w:rPr>
        <w:t xml:space="preserve"> </w:t>
      </w:r>
      <w:r w:rsidR="00D100CF" w:rsidRPr="004B42B1">
        <w:rPr>
          <w:rFonts w:eastAsiaTheme="minorEastAsia"/>
          <w:b w:val="0"/>
          <w:szCs w:val="24"/>
          <w:lang w:eastAsia="ja-JP"/>
        </w:rPr>
        <w:t>En lo que respecta al rendimiento de los estudiantes en el período de excepcionalidad pedagógica, los resultados obtenidos no revelan diferencias significativas</w:t>
      </w:r>
      <w:r w:rsidR="002915B2">
        <w:rPr>
          <w:rFonts w:eastAsiaTheme="minorEastAsia"/>
          <w:b w:val="0"/>
          <w:szCs w:val="24"/>
          <w:lang w:eastAsia="ja-JP"/>
        </w:rPr>
        <w:t>,</w:t>
      </w:r>
      <w:r w:rsidR="00D100CF" w:rsidRPr="004B42B1">
        <w:rPr>
          <w:rFonts w:eastAsiaTheme="minorEastAsia"/>
          <w:b w:val="0"/>
          <w:szCs w:val="24"/>
          <w:lang w:eastAsia="ja-JP"/>
        </w:rPr>
        <w:t xml:space="preserve"> con respecto a los años previos considerados</w:t>
      </w:r>
      <w:r w:rsidR="002915B2">
        <w:rPr>
          <w:rFonts w:eastAsiaTheme="minorEastAsia"/>
          <w:b w:val="0"/>
          <w:szCs w:val="24"/>
          <w:lang w:eastAsia="ja-JP"/>
        </w:rPr>
        <w:t>,</w:t>
      </w:r>
      <w:r w:rsidR="00120ED0">
        <w:rPr>
          <w:rFonts w:eastAsiaTheme="minorEastAsia"/>
          <w:b w:val="0"/>
          <w:szCs w:val="24"/>
          <w:lang w:eastAsia="ja-JP"/>
        </w:rPr>
        <w:t xml:space="preserve"> </w:t>
      </w:r>
      <w:r w:rsidR="00C203D3" w:rsidRPr="00C203D3">
        <w:rPr>
          <w:rFonts w:eastAsiaTheme="minorEastAsia"/>
          <w:b w:val="0"/>
          <w:szCs w:val="24"/>
          <w:lang w:eastAsia="ja-JP"/>
        </w:rPr>
        <w:t>en cuanto a</w:t>
      </w:r>
      <w:r w:rsidR="00120ED0" w:rsidRPr="00C203D3">
        <w:rPr>
          <w:rFonts w:eastAsiaTheme="minorEastAsia"/>
          <w:b w:val="0"/>
          <w:szCs w:val="24"/>
          <w:lang w:eastAsia="ja-JP"/>
        </w:rPr>
        <w:t>l cursado de la asignatu</w:t>
      </w:r>
      <w:r w:rsidR="00FC738A" w:rsidRPr="00C203D3">
        <w:rPr>
          <w:rFonts w:eastAsiaTheme="minorEastAsia"/>
          <w:b w:val="0"/>
          <w:szCs w:val="24"/>
          <w:lang w:eastAsia="ja-JP"/>
        </w:rPr>
        <w:t xml:space="preserve">ra, aunque sí se aprecian diferencias en </w:t>
      </w:r>
      <w:r w:rsidR="00C203D3">
        <w:rPr>
          <w:rFonts w:eastAsiaTheme="minorEastAsia"/>
          <w:b w:val="0"/>
          <w:szCs w:val="24"/>
          <w:lang w:eastAsia="ja-JP"/>
        </w:rPr>
        <w:t xml:space="preserve">relación </w:t>
      </w:r>
      <w:r w:rsidR="00FC738A" w:rsidRPr="00C203D3">
        <w:rPr>
          <w:rFonts w:eastAsiaTheme="minorEastAsia"/>
          <w:b w:val="0"/>
          <w:szCs w:val="24"/>
          <w:lang w:eastAsia="ja-JP"/>
        </w:rPr>
        <w:t>al rendimiento logrado a la hora de aprobar el espacio curricular.</w:t>
      </w:r>
    </w:p>
    <w:p w14:paraId="22835B55" w14:textId="77777777" w:rsidR="004B42B1" w:rsidRPr="004B42B1" w:rsidRDefault="004B42B1" w:rsidP="004B42B1">
      <w:pPr>
        <w:pStyle w:val="BarraTitulo"/>
        <w:pBdr>
          <w:top w:val="none" w:sz="0" w:space="0" w:color="auto"/>
          <w:left w:val="none" w:sz="0" w:space="0" w:color="auto"/>
          <w:bottom w:val="none" w:sz="0" w:space="0" w:color="auto"/>
          <w:right w:val="none" w:sz="0" w:space="0" w:color="auto"/>
        </w:pBdr>
        <w:spacing w:line="360" w:lineRule="auto"/>
        <w:jc w:val="both"/>
        <w:rPr>
          <w:rFonts w:eastAsiaTheme="minorEastAsia"/>
          <w:b w:val="0"/>
          <w:szCs w:val="24"/>
          <w:lang w:eastAsia="ja-JP"/>
        </w:rPr>
      </w:pPr>
    </w:p>
    <w:p w14:paraId="333649C2" w14:textId="3554C5F5" w:rsidR="003D64A1" w:rsidRPr="004B42B1" w:rsidRDefault="009032C7" w:rsidP="004B42B1">
      <w:pPr>
        <w:spacing w:line="360" w:lineRule="auto"/>
        <w:jc w:val="both"/>
        <w:rPr>
          <w:szCs w:val="24"/>
        </w:rPr>
      </w:pPr>
      <w:r w:rsidRPr="004B42B1">
        <w:rPr>
          <w:b/>
          <w:szCs w:val="24"/>
        </w:rPr>
        <w:t xml:space="preserve">Palabras clave: </w:t>
      </w:r>
      <w:r w:rsidR="0077479B" w:rsidRPr="004B42B1">
        <w:rPr>
          <w:szCs w:val="24"/>
        </w:rPr>
        <w:t>Estudiantes universitarios - Matemática financiera -</w:t>
      </w:r>
      <w:r w:rsidR="003D64A1" w:rsidRPr="004B42B1">
        <w:rPr>
          <w:szCs w:val="24"/>
        </w:rPr>
        <w:t xml:space="preserve"> Rendimiento académico </w:t>
      </w:r>
      <w:r w:rsidR="00120ED0">
        <w:rPr>
          <w:szCs w:val="24"/>
        </w:rPr>
        <w:t>-</w:t>
      </w:r>
      <w:r w:rsidR="0077479B" w:rsidRPr="004B42B1">
        <w:rPr>
          <w:szCs w:val="24"/>
        </w:rPr>
        <w:t xml:space="preserve"> Excepcionalidad pedagógica por COVID-19 </w:t>
      </w:r>
    </w:p>
    <w:p w14:paraId="16142B86" w14:textId="1ED663A3" w:rsidR="004B42B1" w:rsidRPr="004B42B1" w:rsidRDefault="004B42B1" w:rsidP="004B42B1">
      <w:pPr>
        <w:spacing w:line="360" w:lineRule="auto"/>
        <w:jc w:val="both"/>
        <w:rPr>
          <w:szCs w:val="24"/>
        </w:rPr>
      </w:pPr>
    </w:p>
    <w:p w14:paraId="21B92149" w14:textId="563EA26B" w:rsidR="004B42B1" w:rsidRPr="004B42B1" w:rsidRDefault="004B42B1" w:rsidP="004B42B1">
      <w:pPr>
        <w:spacing w:line="360" w:lineRule="auto"/>
        <w:jc w:val="both"/>
        <w:rPr>
          <w:szCs w:val="24"/>
        </w:rPr>
      </w:pPr>
    </w:p>
    <w:p w14:paraId="14D26618" w14:textId="66A3656F" w:rsidR="004B42B1" w:rsidRPr="004B42B1" w:rsidRDefault="004B42B1" w:rsidP="004B42B1">
      <w:pPr>
        <w:spacing w:line="360" w:lineRule="auto"/>
        <w:jc w:val="both"/>
        <w:rPr>
          <w:szCs w:val="24"/>
        </w:rPr>
      </w:pPr>
    </w:p>
    <w:p w14:paraId="25772E70" w14:textId="458D4B2A" w:rsidR="004B42B1" w:rsidRPr="00580EC5" w:rsidRDefault="00580EC5" w:rsidP="00580EC5">
      <w:pPr>
        <w:spacing w:line="360" w:lineRule="auto"/>
        <w:jc w:val="both"/>
        <w:rPr>
          <w:b/>
          <w:szCs w:val="24"/>
        </w:rPr>
      </w:pPr>
      <w:r>
        <w:rPr>
          <w:b/>
          <w:szCs w:val="24"/>
        </w:rPr>
        <w:t xml:space="preserve">1. </w:t>
      </w:r>
      <w:r w:rsidR="004B42B1" w:rsidRPr="00580EC5">
        <w:rPr>
          <w:b/>
          <w:szCs w:val="24"/>
        </w:rPr>
        <w:t>Introducción</w:t>
      </w:r>
    </w:p>
    <w:p w14:paraId="2F11B1BB" w14:textId="0F4E72A1" w:rsidR="001F6F73" w:rsidRDefault="001F6F73" w:rsidP="001F6F73">
      <w:pPr>
        <w:spacing w:line="360" w:lineRule="auto"/>
        <w:jc w:val="both"/>
        <w:rPr>
          <w:rFonts w:eastAsiaTheme="minorEastAsia"/>
          <w:szCs w:val="24"/>
          <w:lang w:eastAsia="ja-JP"/>
        </w:rPr>
      </w:pPr>
      <w:r w:rsidRPr="001F6F73">
        <w:rPr>
          <w:rFonts w:eastAsiaTheme="minorEastAsia"/>
          <w:szCs w:val="24"/>
          <w:lang w:eastAsia="ja-JP"/>
        </w:rPr>
        <w:t>El difícil contexto generado a partir de la emergencia sanitaria producida por el COVID-19, con el consecuente ASPO establecido por el Poder Ejecutivo Nacional, dieron lugar a la declaración del estado de excepcionalidad pedagógica a nivel de la Universidad Nacional de Villa (UNVM). Ante esta situación, las docentes de “Matemática Financiera y Actuarial”</w:t>
      </w:r>
      <w:r w:rsidR="00B31151">
        <w:rPr>
          <w:rFonts w:eastAsiaTheme="minorEastAsia"/>
          <w:szCs w:val="24"/>
          <w:lang w:eastAsia="ja-JP"/>
        </w:rPr>
        <w:t xml:space="preserve"> (</w:t>
      </w:r>
      <w:proofErr w:type="spellStart"/>
      <w:r w:rsidR="00B31151">
        <w:rPr>
          <w:rFonts w:eastAsiaTheme="minorEastAsia"/>
          <w:szCs w:val="24"/>
          <w:lang w:eastAsia="ja-JP"/>
        </w:rPr>
        <w:t>MFyA</w:t>
      </w:r>
      <w:proofErr w:type="spellEnd"/>
      <w:r w:rsidR="00B31151">
        <w:rPr>
          <w:rFonts w:eastAsiaTheme="minorEastAsia"/>
          <w:szCs w:val="24"/>
          <w:lang w:eastAsia="ja-JP"/>
        </w:rPr>
        <w:t>)</w:t>
      </w:r>
      <w:r w:rsidRPr="001F6F73">
        <w:rPr>
          <w:rFonts w:eastAsiaTheme="minorEastAsia"/>
          <w:szCs w:val="24"/>
          <w:lang w:eastAsia="ja-JP"/>
        </w:rPr>
        <w:t>, del Instituto Académico Pedagógico de Ciencias Sociales de la UNVM, asumimos el desafío de adecuar la metodología de trabajo para poder ofrecer el espacio curricular de forma virtual.</w:t>
      </w:r>
    </w:p>
    <w:p w14:paraId="54DC25BA" w14:textId="58A91094" w:rsidR="001F6F73" w:rsidRPr="001F6F73" w:rsidRDefault="00B31151" w:rsidP="001F6F73">
      <w:pPr>
        <w:spacing w:line="360" w:lineRule="auto"/>
        <w:jc w:val="both"/>
        <w:rPr>
          <w:rFonts w:eastAsiaTheme="minorEastAsia"/>
          <w:szCs w:val="24"/>
          <w:lang w:eastAsia="ja-JP"/>
        </w:rPr>
      </w:pPr>
      <w:r w:rsidRPr="00917E53">
        <w:rPr>
          <w:rFonts w:eastAsiaTheme="minorEastAsia"/>
          <w:noProof/>
          <w:szCs w:val="24"/>
          <w:lang w:eastAsia="ja-JP"/>
        </w:rPr>
        <w:t>MFyA es una asignatura cuatrimestral, de carácter obligatorio, que se imparte -</w:t>
      </w:r>
      <w:r>
        <w:rPr>
          <w:rFonts w:eastAsiaTheme="minorEastAsia"/>
          <w:noProof/>
          <w:szCs w:val="24"/>
          <w:lang w:eastAsia="ja-JP"/>
        </w:rPr>
        <w:t>e</w:t>
      </w:r>
      <w:r w:rsidRPr="00917E53">
        <w:rPr>
          <w:rFonts w:eastAsiaTheme="minorEastAsia"/>
          <w:noProof/>
          <w:szCs w:val="24"/>
          <w:lang w:eastAsia="ja-JP"/>
        </w:rPr>
        <w:t>n el primer cuatrimestre de cada año- para las carreras de Contador Público, Licenciatura en Administración y Licenciatura en Economía</w:t>
      </w:r>
      <w:r>
        <w:rPr>
          <w:rFonts w:eastAsiaTheme="minorEastAsia"/>
          <w:noProof/>
          <w:szCs w:val="24"/>
          <w:lang w:eastAsia="ja-JP"/>
        </w:rPr>
        <w:t xml:space="preserve"> del referido Instituto. </w:t>
      </w:r>
      <w:r>
        <w:rPr>
          <w:rFonts w:eastAsiaTheme="minorEastAsia"/>
          <w:szCs w:val="24"/>
          <w:lang w:eastAsia="ja-JP"/>
        </w:rPr>
        <w:t>En particular, frente al estado de excepcionalidad, r</w:t>
      </w:r>
      <w:r w:rsidR="001F6F73" w:rsidRPr="001F6F73">
        <w:rPr>
          <w:rFonts w:eastAsiaTheme="minorEastAsia"/>
          <w:szCs w:val="24"/>
          <w:lang w:eastAsia="ja-JP"/>
        </w:rPr>
        <w:t>eorienta</w:t>
      </w:r>
      <w:r w:rsidR="0004478A">
        <w:rPr>
          <w:rFonts w:eastAsiaTheme="minorEastAsia"/>
          <w:szCs w:val="24"/>
          <w:lang w:eastAsia="ja-JP"/>
        </w:rPr>
        <w:t>mos</w:t>
      </w:r>
      <w:r w:rsidR="001F6F73" w:rsidRPr="001F6F73">
        <w:rPr>
          <w:rFonts w:eastAsiaTheme="minorEastAsia"/>
          <w:szCs w:val="24"/>
          <w:lang w:eastAsia="ja-JP"/>
        </w:rPr>
        <w:t xml:space="preserve"> nuestra propuesta pedagógica hacia un modelo centrado en el aprendizaje, en el cual </w:t>
      </w:r>
      <w:r>
        <w:rPr>
          <w:rFonts w:eastAsiaTheme="minorEastAsia"/>
          <w:szCs w:val="24"/>
          <w:lang w:eastAsia="ja-JP"/>
        </w:rPr>
        <w:t>los</w:t>
      </w:r>
      <w:r w:rsidR="001F6F73" w:rsidRPr="001F6F73">
        <w:rPr>
          <w:rFonts w:eastAsiaTheme="minorEastAsia"/>
          <w:szCs w:val="24"/>
          <w:lang w:eastAsia="ja-JP"/>
        </w:rPr>
        <w:t xml:space="preserve"> estudiante</w:t>
      </w:r>
      <w:r>
        <w:rPr>
          <w:rFonts w:eastAsiaTheme="minorEastAsia"/>
          <w:szCs w:val="24"/>
          <w:lang w:eastAsia="ja-JP"/>
        </w:rPr>
        <w:t>s</w:t>
      </w:r>
      <w:r w:rsidR="001F6F73" w:rsidRPr="001F6F73">
        <w:rPr>
          <w:rFonts w:eastAsiaTheme="minorEastAsia"/>
          <w:szCs w:val="24"/>
          <w:lang w:eastAsia="ja-JP"/>
        </w:rPr>
        <w:t xml:space="preserve"> debi</w:t>
      </w:r>
      <w:r>
        <w:rPr>
          <w:rFonts w:eastAsiaTheme="minorEastAsia"/>
          <w:szCs w:val="24"/>
          <w:lang w:eastAsia="ja-JP"/>
        </w:rPr>
        <w:t>eron</w:t>
      </w:r>
      <w:r w:rsidR="001F6F73" w:rsidRPr="001F6F73">
        <w:rPr>
          <w:rFonts w:eastAsiaTheme="minorEastAsia"/>
          <w:szCs w:val="24"/>
          <w:lang w:eastAsia="ja-JP"/>
        </w:rPr>
        <w:t xml:space="preserve"> ocupar un papel central </w:t>
      </w:r>
      <w:r>
        <w:rPr>
          <w:rFonts w:eastAsiaTheme="minorEastAsia"/>
          <w:szCs w:val="24"/>
          <w:lang w:eastAsia="ja-JP"/>
        </w:rPr>
        <w:t xml:space="preserve">en el logro de sus aprendizajes, mientras que </w:t>
      </w:r>
      <w:r w:rsidR="001F6F73" w:rsidRPr="001F6F73">
        <w:rPr>
          <w:rFonts w:eastAsiaTheme="minorEastAsia"/>
          <w:szCs w:val="24"/>
          <w:lang w:eastAsia="ja-JP"/>
        </w:rPr>
        <w:t>las docentes asumimos el rol de facilitadoras</w:t>
      </w:r>
      <w:r>
        <w:rPr>
          <w:rFonts w:eastAsiaTheme="minorEastAsia"/>
          <w:szCs w:val="24"/>
          <w:lang w:eastAsia="ja-JP"/>
        </w:rPr>
        <w:t xml:space="preserve"> de los mismos</w:t>
      </w:r>
      <w:r w:rsidR="001F6F73" w:rsidRPr="001F6F73">
        <w:rPr>
          <w:rFonts w:eastAsiaTheme="minorEastAsia"/>
          <w:szCs w:val="24"/>
          <w:lang w:eastAsia="ja-JP"/>
        </w:rPr>
        <w:t xml:space="preserve">, generando ambientes propicios a través del diseño e implementación de metodologías activas para </w:t>
      </w:r>
      <w:r>
        <w:rPr>
          <w:rFonts w:eastAsiaTheme="minorEastAsia"/>
          <w:szCs w:val="24"/>
          <w:lang w:eastAsia="ja-JP"/>
        </w:rPr>
        <w:t xml:space="preserve">favorecer la </w:t>
      </w:r>
      <w:r w:rsidR="001F6F73" w:rsidRPr="001F6F73">
        <w:rPr>
          <w:rFonts w:eastAsiaTheme="minorEastAsia"/>
          <w:szCs w:val="24"/>
          <w:lang w:eastAsia="ja-JP"/>
        </w:rPr>
        <w:t>apropi</w:t>
      </w:r>
      <w:r>
        <w:rPr>
          <w:rFonts w:eastAsiaTheme="minorEastAsia"/>
          <w:szCs w:val="24"/>
          <w:lang w:eastAsia="ja-JP"/>
        </w:rPr>
        <w:t xml:space="preserve">ación </w:t>
      </w:r>
      <w:r w:rsidR="001F6F73" w:rsidRPr="001F6F73">
        <w:rPr>
          <w:rFonts w:eastAsiaTheme="minorEastAsia"/>
          <w:szCs w:val="24"/>
          <w:lang w:eastAsia="ja-JP"/>
        </w:rPr>
        <w:t>de los conocimientos</w:t>
      </w:r>
      <w:r w:rsidR="001F6F73">
        <w:rPr>
          <w:rFonts w:eastAsiaTheme="minorEastAsia"/>
          <w:szCs w:val="24"/>
          <w:lang w:eastAsia="ja-JP"/>
        </w:rPr>
        <w:t xml:space="preserve"> </w:t>
      </w:r>
      <w:r>
        <w:rPr>
          <w:rFonts w:eastAsiaTheme="minorEastAsia"/>
          <w:szCs w:val="24"/>
          <w:lang w:eastAsia="ja-JP"/>
        </w:rPr>
        <w:t xml:space="preserve">por parte de los alumnos </w:t>
      </w:r>
      <w:r w:rsidR="001F6F73">
        <w:rPr>
          <w:rFonts w:eastAsiaTheme="minorEastAsia"/>
          <w:szCs w:val="24"/>
          <w:lang w:eastAsia="ja-JP"/>
        </w:rPr>
        <w:t>(</w:t>
      </w:r>
      <w:proofErr w:type="spellStart"/>
      <w:r w:rsidR="001F6F73">
        <w:rPr>
          <w:rFonts w:eastAsiaTheme="minorEastAsia"/>
          <w:szCs w:val="24"/>
          <w:lang w:eastAsia="ja-JP"/>
        </w:rPr>
        <w:t>Ficco</w:t>
      </w:r>
      <w:proofErr w:type="spellEnd"/>
      <w:r w:rsidR="001F6F73">
        <w:rPr>
          <w:rFonts w:eastAsiaTheme="minorEastAsia"/>
          <w:szCs w:val="24"/>
          <w:lang w:eastAsia="ja-JP"/>
        </w:rPr>
        <w:t xml:space="preserve"> y Musa, 2020)</w:t>
      </w:r>
      <w:r w:rsidR="001F6F73" w:rsidRPr="001F6F73">
        <w:rPr>
          <w:rFonts w:eastAsiaTheme="minorEastAsia"/>
          <w:szCs w:val="24"/>
          <w:lang w:eastAsia="ja-JP"/>
        </w:rPr>
        <w:t>.</w:t>
      </w:r>
    </w:p>
    <w:p w14:paraId="296B6B16" w14:textId="3FA547C3" w:rsidR="009741FD" w:rsidRDefault="00D32967" w:rsidP="009741FD">
      <w:pPr>
        <w:spacing w:line="360" w:lineRule="auto"/>
        <w:jc w:val="both"/>
        <w:rPr>
          <w:rFonts w:eastAsiaTheme="minorEastAsia"/>
          <w:szCs w:val="24"/>
          <w:lang w:eastAsia="ja-JP"/>
        </w:rPr>
      </w:pPr>
      <w:r>
        <w:rPr>
          <w:rFonts w:eastAsiaTheme="minorEastAsia"/>
          <w:szCs w:val="24"/>
          <w:lang w:eastAsia="ja-JP"/>
        </w:rPr>
        <w:t>H</w:t>
      </w:r>
      <w:r w:rsidR="001F6F73">
        <w:rPr>
          <w:rFonts w:eastAsiaTheme="minorEastAsia"/>
          <w:szCs w:val="24"/>
          <w:lang w:eastAsia="ja-JP"/>
        </w:rPr>
        <w:t xml:space="preserve">abiendo transcurrido dos </w:t>
      </w:r>
      <w:r w:rsidR="0004478A">
        <w:rPr>
          <w:rFonts w:eastAsiaTheme="minorEastAsia"/>
          <w:szCs w:val="24"/>
          <w:lang w:eastAsia="ja-JP"/>
        </w:rPr>
        <w:t>períodos</w:t>
      </w:r>
      <w:r w:rsidR="001F6F73">
        <w:rPr>
          <w:rFonts w:eastAsiaTheme="minorEastAsia"/>
          <w:szCs w:val="24"/>
          <w:lang w:eastAsia="ja-JP"/>
        </w:rPr>
        <w:t xml:space="preserve"> académicos </w:t>
      </w:r>
      <w:r w:rsidR="0004478A">
        <w:rPr>
          <w:rFonts w:eastAsiaTheme="minorEastAsia"/>
          <w:szCs w:val="24"/>
          <w:lang w:eastAsia="ja-JP"/>
        </w:rPr>
        <w:t xml:space="preserve">(2020 y 2021) </w:t>
      </w:r>
      <w:r w:rsidR="001F6F73">
        <w:rPr>
          <w:rFonts w:eastAsiaTheme="minorEastAsia"/>
          <w:szCs w:val="24"/>
          <w:lang w:eastAsia="ja-JP"/>
        </w:rPr>
        <w:t>en los cuales la asignatura se ha dictado en condiciones de excepcionalidad, no</w:t>
      </w:r>
      <w:r w:rsidR="00091137">
        <w:rPr>
          <w:rFonts w:eastAsiaTheme="minorEastAsia"/>
          <w:szCs w:val="24"/>
          <w:lang w:eastAsia="ja-JP"/>
        </w:rPr>
        <w:t>s</w:t>
      </w:r>
      <w:r w:rsidR="001F6F73">
        <w:rPr>
          <w:rFonts w:eastAsiaTheme="minorEastAsia"/>
          <w:szCs w:val="24"/>
          <w:lang w:eastAsia="ja-JP"/>
        </w:rPr>
        <w:t xml:space="preserve"> interesa </w:t>
      </w:r>
      <w:r w:rsidR="0004478A">
        <w:rPr>
          <w:rFonts w:eastAsiaTheme="minorEastAsia"/>
          <w:szCs w:val="24"/>
          <w:lang w:eastAsia="ja-JP"/>
        </w:rPr>
        <w:t xml:space="preserve">detenernos y reflexionar en torno al rendimiento alcanzado por </w:t>
      </w:r>
      <w:r w:rsidR="0004478A" w:rsidRPr="004B42B1">
        <w:rPr>
          <w:rFonts w:eastAsiaTheme="minorEastAsia"/>
          <w:szCs w:val="24"/>
          <w:lang w:eastAsia="ja-JP"/>
        </w:rPr>
        <w:t>los estudiantes</w:t>
      </w:r>
      <w:r w:rsidR="0004478A">
        <w:rPr>
          <w:rFonts w:eastAsiaTheme="minorEastAsia"/>
          <w:szCs w:val="24"/>
          <w:lang w:eastAsia="ja-JP"/>
        </w:rPr>
        <w:t xml:space="preserve"> en este período. </w:t>
      </w:r>
      <w:r>
        <w:rPr>
          <w:rFonts w:eastAsiaTheme="minorEastAsia"/>
          <w:szCs w:val="24"/>
          <w:lang w:eastAsia="ja-JP"/>
        </w:rPr>
        <w:t>En este marco</w:t>
      </w:r>
      <w:r w:rsidR="0004478A">
        <w:rPr>
          <w:rFonts w:eastAsiaTheme="minorEastAsia"/>
          <w:szCs w:val="24"/>
          <w:lang w:eastAsia="ja-JP"/>
        </w:rPr>
        <w:t>, l</w:t>
      </w:r>
      <w:r w:rsidR="009741FD" w:rsidRPr="00256211">
        <w:rPr>
          <w:rFonts w:eastAsiaTheme="minorEastAsia"/>
          <w:szCs w:val="24"/>
          <w:lang w:eastAsia="ja-JP"/>
        </w:rPr>
        <w:t xml:space="preserve">a </w:t>
      </w:r>
      <w:r w:rsidR="0004478A">
        <w:rPr>
          <w:rFonts w:eastAsiaTheme="minorEastAsia"/>
          <w:szCs w:val="24"/>
          <w:lang w:eastAsia="ja-JP"/>
        </w:rPr>
        <w:t>presente</w:t>
      </w:r>
      <w:r w:rsidR="009741FD" w:rsidRPr="00256211">
        <w:rPr>
          <w:rFonts w:eastAsiaTheme="minorEastAsia"/>
          <w:szCs w:val="24"/>
          <w:lang w:eastAsia="ja-JP"/>
        </w:rPr>
        <w:t xml:space="preserve"> ponencia </w:t>
      </w:r>
      <w:r w:rsidR="009741FD" w:rsidRPr="00256211">
        <w:rPr>
          <w:szCs w:val="24"/>
        </w:rPr>
        <w:t xml:space="preserve">tiene como objetivo </w:t>
      </w:r>
      <w:r w:rsidR="009741FD" w:rsidRPr="004B42B1">
        <w:rPr>
          <w:rFonts w:eastAsiaTheme="minorEastAsia"/>
          <w:szCs w:val="24"/>
          <w:lang w:eastAsia="ja-JP"/>
        </w:rPr>
        <w:t xml:space="preserve">fundamental analizar el rendimiento de los estudiantes de </w:t>
      </w:r>
      <w:proofErr w:type="spellStart"/>
      <w:r w:rsidR="001F6F73">
        <w:rPr>
          <w:rFonts w:eastAsiaTheme="minorEastAsia"/>
          <w:szCs w:val="24"/>
          <w:lang w:eastAsia="ja-JP"/>
        </w:rPr>
        <w:t>MFyA</w:t>
      </w:r>
      <w:proofErr w:type="spellEnd"/>
      <w:r w:rsidR="009741FD" w:rsidRPr="004B42B1">
        <w:rPr>
          <w:rFonts w:eastAsiaTheme="minorEastAsia"/>
          <w:szCs w:val="24"/>
          <w:lang w:eastAsia="ja-JP"/>
        </w:rPr>
        <w:t xml:space="preserve"> que cursaron la asignatura en el primer cuatrimestre de los años 2020 y 2021</w:t>
      </w:r>
      <w:r w:rsidR="0004478A">
        <w:rPr>
          <w:rFonts w:eastAsiaTheme="minorEastAsia"/>
          <w:szCs w:val="24"/>
          <w:lang w:eastAsia="ja-JP"/>
        </w:rPr>
        <w:t xml:space="preserve">, </w:t>
      </w:r>
      <w:r w:rsidR="009741FD" w:rsidRPr="004B42B1">
        <w:rPr>
          <w:rFonts w:eastAsiaTheme="minorEastAsia"/>
          <w:szCs w:val="24"/>
          <w:lang w:eastAsia="ja-JP"/>
        </w:rPr>
        <w:t>realiza</w:t>
      </w:r>
      <w:r w:rsidR="0004478A">
        <w:rPr>
          <w:rFonts w:eastAsiaTheme="minorEastAsia"/>
          <w:szCs w:val="24"/>
          <w:lang w:eastAsia="ja-JP"/>
        </w:rPr>
        <w:t>ndo</w:t>
      </w:r>
      <w:r w:rsidR="009741FD" w:rsidRPr="004B42B1">
        <w:rPr>
          <w:rFonts w:eastAsiaTheme="minorEastAsia"/>
          <w:szCs w:val="24"/>
          <w:lang w:eastAsia="ja-JP"/>
        </w:rPr>
        <w:t xml:space="preserve"> una comparación con el rendimiento logrado en la asignatura por parte de los estudiantes cursantes en los dos años previos a dicho período.</w:t>
      </w:r>
      <w:r w:rsidR="0004478A">
        <w:rPr>
          <w:rFonts w:eastAsiaTheme="minorEastAsia"/>
          <w:szCs w:val="24"/>
          <w:lang w:eastAsia="ja-JP"/>
        </w:rPr>
        <w:t xml:space="preserve"> La idea es poder </w:t>
      </w:r>
      <w:r>
        <w:rPr>
          <w:rFonts w:eastAsiaTheme="minorEastAsia"/>
          <w:szCs w:val="24"/>
          <w:lang w:eastAsia="ja-JP"/>
        </w:rPr>
        <w:t>evaluar si el cambio de modalidad en el dictado de la asignatura ha impactado en el rendimiento de los estudiantes, tanto en lo referido a la obtención de la regularidad como en lo relativo a la aprobación del espacio curricular.</w:t>
      </w:r>
    </w:p>
    <w:p w14:paraId="54CA2DCF" w14:textId="300EF496" w:rsidR="001F6F73" w:rsidRPr="00256211" w:rsidRDefault="00362BCD" w:rsidP="009741FD">
      <w:pPr>
        <w:spacing w:line="360" w:lineRule="auto"/>
        <w:jc w:val="both"/>
        <w:rPr>
          <w:b/>
          <w:szCs w:val="24"/>
        </w:rPr>
      </w:pPr>
      <w:r w:rsidRPr="004B42B1">
        <w:rPr>
          <w:rFonts w:eastAsiaTheme="minorEastAsia"/>
          <w:szCs w:val="24"/>
          <w:lang w:eastAsia="ja-JP"/>
        </w:rPr>
        <w:t>Desde el punto de vista metodológico, se realizó un</w:t>
      </w:r>
      <w:r>
        <w:rPr>
          <w:rFonts w:eastAsiaTheme="minorEastAsia"/>
          <w:szCs w:val="24"/>
          <w:lang w:eastAsia="ja-JP"/>
        </w:rPr>
        <w:t>a investigación no experimental y</w:t>
      </w:r>
      <w:r w:rsidRPr="004B42B1">
        <w:rPr>
          <w:rFonts w:eastAsiaTheme="minorEastAsia"/>
          <w:szCs w:val="24"/>
          <w:lang w:eastAsia="ja-JP"/>
        </w:rPr>
        <w:t xml:space="preserve"> </w:t>
      </w:r>
      <w:r>
        <w:rPr>
          <w:rFonts w:eastAsiaTheme="minorEastAsia"/>
          <w:szCs w:val="24"/>
          <w:lang w:eastAsia="ja-JP"/>
        </w:rPr>
        <w:t xml:space="preserve">de alcance descriptivo, </w:t>
      </w:r>
      <w:r w:rsidRPr="004B42B1">
        <w:rPr>
          <w:rFonts w:eastAsiaTheme="minorEastAsia"/>
          <w:szCs w:val="24"/>
          <w:lang w:eastAsia="ja-JP"/>
        </w:rPr>
        <w:t>en la que se utiliz</w:t>
      </w:r>
      <w:r>
        <w:rPr>
          <w:rFonts w:eastAsiaTheme="minorEastAsia"/>
          <w:szCs w:val="24"/>
          <w:lang w:eastAsia="ja-JP"/>
        </w:rPr>
        <w:t xml:space="preserve">aron </w:t>
      </w:r>
      <w:r w:rsidRPr="004B42B1">
        <w:rPr>
          <w:rFonts w:eastAsiaTheme="minorEastAsia"/>
          <w:szCs w:val="24"/>
          <w:lang w:eastAsia="ja-JP"/>
        </w:rPr>
        <w:t>las planillas de regularidades y las actas de exámenes finales como fuente</w:t>
      </w:r>
      <w:r>
        <w:rPr>
          <w:rFonts w:eastAsiaTheme="minorEastAsia"/>
          <w:szCs w:val="24"/>
          <w:lang w:eastAsia="ja-JP"/>
        </w:rPr>
        <w:t>s principales</w:t>
      </w:r>
      <w:r w:rsidRPr="004B42B1">
        <w:rPr>
          <w:rFonts w:eastAsiaTheme="minorEastAsia"/>
          <w:szCs w:val="24"/>
          <w:lang w:eastAsia="ja-JP"/>
        </w:rPr>
        <w:t xml:space="preserve"> para la recolección de datos</w:t>
      </w:r>
      <w:r>
        <w:rPr>
          <w:rFonts w:eastAsiaTheme="minorEastAsia"/>
          <w:szCs w:val="24"/>
          <w:lang w:eastAsia="ja-JP"/>
        </w:rPr>
        <w:t>.</w:t>
      </w:r>
    </w:p>
    <w:p w14:paraId="2979B414" w14:textId="5CF8C2B6" w:rsidR="009741FD" w:rsidRPr="00256211" w:rsidRDefault="009741FD" w:rsidP="009741FD">
      <w:pPr>
        <w:pStyle w:val="BarraTitulo"/>
        <w:pBdr>
          <w:top w:val="none" w:sz="0" w:space="0" w:color="auto"/>
          <w:left w:val="none" w:sz="0" w:space="0" w:color="auto"/>
          <w:bottom w:val="none" w:sz="0" w:space="0" w:color="auto"/>
          <w:right w:val="none" w:sz="0" w:space="0" w:color="auto"/>
        </w:pBdr>
        <w:spacing w:line="360" w:lineRule="auto"/>
        <w:jc w:val="both"/>
        <w:rPr>
          <w:rFonts w:eastAsiaTheme="minorEastAsia"/>
          <w:b w:val="0"/>
          <w:szCs w:val="24"/>
          <w:lang w:eastAsia="ja-JP"/>
        </w:rPr>
      </w:pPr>
      <w:r w:rsidRPr="00256211">
        <w:rPr>
          <w:rFonts w:eastAsiaTheme="minorEastAsia"/>
          <w:b w:val="0"/>
          <w:szCs w:val="24"/>
          <w:lang w:eastAsia="ja-JP"/>
        </w:rPr>
        <w:t>De este modo, tras esta introducción la ponencia se presenta dividida en tres grandes secciones. En la primera se presenta el marco conceptual y los antecedentes de la investigación. En la segunda, se describe</w:t>
      </w:r>
      <w:r w:rsidR="00362BCD">
        <w:rPr>
          <w:rFonts w:eastAsiaTheme="minorEastAsia"/>
          <w:b w:val="0"/>
          <w:szCs w:val="24"/>
          <w:lang w:eastAsia="ja-JP"/>
        </w:rPr>
        <w:t>n los aspectos</w:t>
      </w:r>
      <w:r w:rsidRPr="00256211">
        <w:rPr>
          <w:rFonts w:eastAsiaTheme="minorEastAsia"/>
          <w:b w:val="0"/>
          <w:szCs w:val="24"/>
          <w:lang w:eastAsia="ja-JP"/>
        </w:rPr>
        <w:t xml:space="preserve"> metodol</w:t>
      </w:r>
      <w:r w:rsidR="00362BCD">
        <w:rPr>
          <w:rFonts w:eastAsiaTheme="minorEastAsia"/>
          <w:b w:val="0"/>
          <w:szCs w:val="24"/>
          <w:lang w:eastAsia="ja-JP"/>
        </w:rPr>
        <w:t xml:space="preserve">ógicos de la investigación realizada </w:t>
      </w:r>
      <w:r w:rsidRPr="00256211">
        <w:rPr>
          <w:rFonts w:eastAsiaTheme="minorEastAsia"/>
          <w:b w:val="0"/>
          <w:szCs w:val="24"/>
          <w:lang w:eastAsia="ja-JP"/>
        </w:rPr>
        <w:t xml:space="preserve">y, en la tercera, se presentan los resultados </w:t>
      </w:r>
      <w:r w:rsidR="00362BCD">
        <w:rPr>
          <w:rFonts w:eastAsiaTheme="minorEastAsia"/>
          <w:b w:val="0"/>
          <w:szCs w:val="24"/>
          <w:lang w:eastAsia="ja-JP"/>
        </w:rPr>
        <w:t>y su análisis</w:t>
      </w:r>
      <w:r w:rsidRPr="00256211">
        <w:rPr>
          <w:rFonts w:eastAsiaTheme="minorEastAsia"/>
          <w:b w:val="0"/>
          <w:szCs w:val="24"/>
          <w:lang w:eastAsia="ja-JP"/>
        </w:rPr>
        <w:t xml:space="preserve">. Finamente </w:t>
      </w:r>
      <w:r w:rsidR="00091137">
        <w:rPr>
          <w:rFonts w:eastAsiaTheme="minorEastAsia"/>
          <w:b w:val="0"/>
          <w:szCs w:val="24"/>
          <w:lang w:eastAsia="ja-JP"/>
        </w:rPr>
        <w:t>se exponen algunas reflexiones finales derivadas de este estudio.</w:t>
      </w:r>
    </w:p>
    <w:p w14:paraId="1CED98CF" w14:textId="77777777" w:rsidR="009741FD" w:rsidRDefault="009741FD" w:rsidP="009741FD">
      <w:pPr>
        <w:spacing w:line="360" w:lineRule="auto"/>
        <w:jc w:val="both"/>
        <w:rPr>
          <w:b/>
          <w:szCs w:val="24"/>
        </w:rPr>
      </w:pPr>
    </w:p>
    <w:p w14:paraId="018BA2EE" w14:textId="73BDA087" w:rsidR="004B42B1" w:rsidRPr="00362BCD" w:rsidRDefault="00362BCD" w:rsidP="00362BCD">
      <w:pPr>
        <w:spacing w:line="360" w:lineRule="auto"/>
        <w:jc w:val="both"/>
        <w:rPr>
          <w:b/>
          <w:szCs w:val="24"/>
        </w:rPr>
      </w:pPr>
      <w:r>
        <w:rPr>
          <w:b/>
          <w:szCs w:val="24"/>
        </w:rPr>
        <w:t xml:space="preserve">2. </w:t>
      </w:r>
      <w:r w:rsidR="004B42B1" w:rsidRPr="00362BCD">
        <w:rPr>
          <w:b/>
          <w:szCs w:val="24"/>
        </w:rPr>
        <w:t>Marco Teórico</w:t>
      </w:r>
    </w:p>
    <w:p w14:paraId="5F97A6D6" w14:textId="3AE8F4E0" w:rsidR="00C963B8" w:rsidRPr="00C963B8" w:rsidRDefault="00C963B8" w:rsidP="00C963B8">
      <w:pPr>
        <w:spacing w:line="360" w:lineRule="auto"/>
        <w:jc w:val="both"/>
        <w:rPr>
          <w:szCs w:val="24"/>
        </w:rPr>
      </w:pPr>
      <w:r>
        <w:rPr>
          <w:szCs w:val="24"/>
        </w:rPr>
        <w:t xml:space="preserve">La presente investigación se encuadra dentro de la línea de estudios referidos al </w:t>
      </w:r>
      <w:r w:rsidRPr="00C963B8">
        <w:rPr>
          <w:szCs w:val="24"/>
        </w:rPr>
        <w:t>rendimiento académico</w:t>
      </w:r>
      <w:r>
        <w:rPr>
          <w:szCs w:val="24"/>
        </w:rPr>
        <w:t xml:space="preserve">. </w:t>
      </w:r>
      <w:r w:rsidRPr="00C963B8">
        <w:rPr>
          <w:szCs w:val="24"/>
        </w:rPr>
        <w:t>Desde un punto de vista práctico, lo habitual es identificar rendimiento con resultados (Tejedor y García-Valcárcel, 2007) y, dentro de ellos, las calificaciones obtenidas en los exámenes constituyen -tal como señala Ocaña (2011)- el medio más utilizado para operacionalizar el rendimiento académico.</w:t>
      </w:r>
    </w:p>
    <w:p w14:paraId="4F84EC09" w14:textId="401B3A57" w:rsidR="00C963B8" w:rsidRDefault="00C963B8" w:rsidP="00C963B8">
      <w:pPr>
        <w:spacing w:line="360" w:lineRule="auto"/>
        <w:jc w:val="both"/>
        <w:rPr>
          <w:szCs w:val="24"/>
        </w:rPr>
      </w:pPr>
      <w:r>
        <w:rPr>
          <w:szCs w:val="24"/>
        </w:rPr>
        <w:t>Dentro de esta vasta línea de investigación, u</w:t>
      </w:r>
      <w:r w:rsidRPr="00C963B8">
        <w:rPr>
          <w:szCs w:val="24"/>
        </w:rPr>
        <w:t>na parte importante de los estudios se ha ocupado de examinar los factores que influyen en el rendimiento académico de los estudiantes, también llamados “determinante</w:t>
      </w:r>
      <w:r>
        <w:rPr>
          <w:szCs w:val="24"/>
        </w:rPr>
        <w:t>s</w:t>
      </w:r>
      <w:r w:rsidRPr="00C963B8">
        <w:rPr>
          <w:szCs w:val="24"/>
        </w:rPr>
        <w:t xml:space="preserve">” del rendimiento académico. Estos factores son difíciles de identificar, porque muchas veces conforman una red tan fuertemente entretejida, que resulta complejo delimitarlos para atribuirles efectos claramente diferenciables a cada uno de ellos (Álvaro, 1990). No obstante, en general, </w:t>
      </w:r>
      <w:proofErr w:type="gramStart"/>
      <w:r w:rsidRPr="00C963B8">
        <w:rPr>
          <w:szCs w:val="24"/>
        </w:rPr>
        <w:t>esta multiplicidad de factores puede</w:t>
      </w:r>
      <w:r w:rsidR="009F26CD">
        <w:rPr>
          <w:szCs w:val="24"/>
        </w:rPr>
        <w:t>n</w:t>
      </w:r>
      <w:proofErr w:type="gramEnd"/>
      <w:r w:rsidRPr="00C963B8">
        <w:rPr>
          <w:szCs w:val="24"/>
        </w:rPr>
        <w:t xml:space="preserve"> ser agrupados</w:t>
      </w:r>
      <w:r w:rsidR="00457CDB">
        <w:rPr>
          <w:szCs w:val="24"/>
        </w:rPr>
        <w:t xml:space="preserve">, </w:t>
      </w:r>
      <w:r w:rsidRPr="00C963B8">
        <w:rPr>
          <w:szCs w:val="24"/>
        </w:rPr>
        <w:t>en cinco categorías, a saber: institucionales, pedagógicos, académicos, psicosociales y sociodemográficos.</w:t>
      </w:r>
    </w:p>
    <w:p w14:paraId="396006DD" w14:textId="3A5A7C18" w:rsidR="00C963B8" w:rsidRPr="00C963B8" w:rsidRDefault="00C963B8" w:rsidP="00C963B8">
      <w:pPr>
        <w:spacing w:line="360" w:lineRule="auto"/>
        <w:jc w:val="both"/>
        <w:rPr>
          <w:szCs w:val="24"/>
        </w:rPr>
      </w:pPr>
      <w:r w:rsidRPr="00C963B8">
        <w:rPr>
          <w:szCs w:val="24"/>
        </w:rPr>
        <w:t xml:space="preserve">A lo largo de los años, y tal como señalan Montero, Villalobos </w:t>
      </w:r>
      <w:r w:rsidR="00120ED0">
        <w:rPr>
          <w:szCs w:val="24"/>
        </w:rPr>
        <w:t>y</w:t>
      </w:r>
      <w:r w:rsidRPr="00C963B8">
        <w:rPr>
          <w:szCs w:val="24"/>
        </w:rPr>
        <w:t xml:space="preserve"> Valverde (2007), se ha producido un cambio en el enfoque de las investigaciones sobre los determinantes del rendimiento académico y, actualmente, el énfasis se concentra en explicar el rendimiento tratando de encontrar relaciones causales entre el desempeño académico y variables que puedan ser objeto de intervenciones por parte de las propias instituciones de enseñanza o a nivel del sistema educativo en general.</w:t>
      </w:r>
    </w:p>
    <w:p w14:paraId="33F40DD9" w14:textId="77777777" w:rsidR="00C963B8" w:rsidRPr="00C963B8" w:rsidRDefault="00C963B8" w:rsidP="00C963B8">
      <w:pPr>
        <w:spacing w:line="360" w:lineRule="auto"/>
        <w:jc w:val="both"/>
        <w:rPr>
          <w:szCs w:val="24"/>
        </w:rPr>
      </w:pPr>
      <w:r w:rsidRPr="00C963B8">
        <w:rPr>
          <w:szCs w:val="24"/>
        </w:rPr>
        <w:t>Y esto ha tenido que ver, en gran parte, con la implicancia que posee el rendimiento académico en el abandono de los estudios (García, 2014), que ha motivado el desarrollo de investigaciones destinadas a proveer a los tomadores de decisiones de las herramientas necesarias para implementar cambios, a nivel institucional o programático, enfocados a favorecer la permanencia en los estudios y la graduación a término.</w:t>
      </w:r>
    </w:p>
    <w:p w14:paraId="7E538E7B" w14:textId="77777777" w:rsidR="00C963B8" w:rsidRDefault="00C963B8" w:rsidP="00C963B8">
      <w:pPr>
        <w:pStyle w:val="BarraTitulo"/>
        <w:pBdr>
          <w:top w:val="none" w:sz="0" w:space="0" w:color="auto"/>
          <w:left w:val="none" w:sz="0" w:space="0" w:color="auto"/>
          <w:bottom w:val="none" w:sz="0" w:space="0" w:color="auto"/>
          <w:right w:val="none" w:sz="0" w:space="0" w:color="auto"/>
        </w:pBdr>
        <w:spacing w:line="360" w:lineRule="auto"/>
        <w:jc w:val="both"/>
        <w:rPr>
          <w:b w:val="0"/>
        </w:rPr>
      </w:pPr>
      <w:r>
        <w:rPr>
          <w:b w:val="0"/>
          <w:szCs w:val="24"/>
        </w:rPr>
        <w:t xml:space="preserve">Dentro de estos trabajos se encuentra el de </w:t>
      </w:r>
      <w:r w:rsidRPr="00260323">
        <w:rPr>
          <w:b w:val="0"/>
        </w:rPr>
        <w:t>Gonz</w:t>
      </w:r>
      <w:r>
        <w:rPr>
          <w:b w:val="0"/>
        </w:rPr>
        <w:t>ález</w:t>
      </w:r>
      <w:r w:rsidRPr="00260323">
        <w:rPr>
          <w:b w:val="0"/>
        </w:rPr>
        <w:t xml:space="preserve"> </w:t>
      </w:r>
      <w:r>
        <w:rPr>
          <w:b w:val="0"/>
        </w:rPr>
        <w:t>(</w:t>
      </w:r>
      <w:r w:rsidRPr="00260323">
        <w:rPr>
          <w:b w:val="0"/>
        </w:rPr>
        <w:t>1989)</w:t>
      </w:r>
      <w:r>
        <w:rPr>
          <w:b w:val="0"/>
        </w:rPr>
        <w:t xml:space="preserve"> quien, a través de un pormenorizado</w:t>
      </w:r>
      <w:r w:rsidRPr="00260323">
        <w:rPr>
          <w:b w:val="0"/>
        </w:rPr>
        <w:t xml:space="preserve"> estudio llevado a cabo en la Universidad Polit</w:t>
      </w:r>
      <w:r>
        <w:rPr>
          <w:b w:val="0"/>
        </w:rPr>
        <w:t xml:space="preserve">écnica de Madrid, </w:t>
      </w:r>
      <w:r w:rsidRPr="00260323">
        <w:rPr>
          <w:b w:val="0"/>
        </w:rPr>
        <w:t xml:space="preserve">con el fin de analizar las causas del fracaso de los estudiantes que acceden por primera vez a carreras de Ingenieria, </w:t>
      </w:r>
      <w:r>
        <w:rPr>
          <w:b w:val="0"/>
        </w:rPr>
        <w:t>identifica</w:t>
      </w:r>
      <w:r w:rsidRPr="00260323">
        <w:rPr>
          <w:b w:val="0"/>
        </w:rPr>
        <w:t>, entre las causas más influyentes en el rendimiento académico, factores de tipo académico, como el nivel de conocimientos previos</w:t>
      </w:r>
      <w:r>
        <w:rPr>
          <w:b w:val="0"/>
        </w:rPr>
        <w:t xml:space="preserve"> </w:t>
      </w:r>
      <w:r w:rsidRPr="00260323">
        <w:rPr>
          <w:b w:val="0"/>
        </w:rPr>
        <w:t>y el resultado académico en exámenes parciales; factores inherentes al profesorado, como las deficiencias psicopedagógicas, la falta de tratamiento individualizado y la falta de relación profesor-alumno; y factores inherentes a la organización académica,</w:t>
      </w:r>
      <w:r>
        <w:rPr>
          <w:b w:val="0"/>
        </w:rPr>
        <w:t xml:space="preserve"> como</w:t>
      </w:r>
      <w:r w:rsidRPr="00260323">
        <w:rPr>
          <w:b w:val="0"/>
        </w:rPr>
        <w:t xml:space="preserve"> la ausencia de objetivos claramente definidos, la falta de coordinación entre materias y los criterios objetivos de evaluación.</w:t>
      </w:r>
    </w:p>
    <w:p w14:paraId="668DF3CD" w14:textId="0E6B9C2A" w:rsidR="00C963B8" w:rsidRDefault="00C963B8" w:rsidP="00C963B8">
      <w:pPr>
        <w:pStyle w:val="BarraTitulo"/>
        <w:pBdr>
          <w:top w:val="none" w:sz="0" w:space="0" w:color="auto"/>
          <w:left w:val="none" w:sz="0" w:space="0" w:color="auto"/>
          <w:bottom w:val="none" w:sz="0" w:space="0" w:color="auto"/>
          <w:right w:val="none" w:sz="0" w:space="0" w:color="auto"/>
        </w:pBdr>
        <w:spacing w:line="360" w:lineRule="auto"/>
        <w:jc w:val="both"/>
        <w:rPr>
          <w:b w:val="0"/>
        </w:rPr>
      </w:pPr>
      <w:r w:rsidRPr="00745B85">
        <w:rPr>
          <w:b w:val="0"/>
        </w:rPr>
        <w:lastRenderedPageBreak/>
        <w:t xml:space="preserve">En numerosas investigaciones sobre rendimiento universitario se ha señalado que el </w:t>
      </w:r>
      <w:r>
        <w:rPr>
          <w:b w:val="0"/>
        </w:rPr>
        <w:t>mejor predictor del éxito acadé</w:t>
      </w:r>
      <w:r w:rsidRPr="00745B85">
        <w:rPr>
          <w:b w:val="0"/>
        </w:rPr>
        <w:t>mico es algún tipo de rendimiento anterior, ya se</w:t>
      </w:r>
      <w:r>
        <w:rPr>
          <w:b w:val="0"/>
        </w:rPr>
        <w:t>a el del nivel medio</w:t>
      </w:r>
      <w:r w:rsidRPr="00745B85">
        <w:rPr>
          <w:b w:val="0"/>
        </w:rPr>
        <w:t xml:space="preserve"> </w:t>
      </w:r>
      <w:r>
        <w:rPr>
          <w:b w:val="0"/>
        </w:rPr>
        <w:t>o el de</w:t>
      </w:r>
      <w:r w:rsidRPr="00745B85">
        <w:rPr>
          <w:b w:val="0"/>
        </w:rPr>
        <w:t xml:space="preserve"> un curso o cursos anterio</w:t>
      </w:r>
      <w:r>
        <w:rPr>
          <w:b w:val="0"/>
        </w:rPr>
        <w:t xml:space="preserve">res de enseñanza universitaria </w:t>
      </w:r>
      <w:r w:rsidRPr="00745B85">
        <w:rPr>
          <w:b w:val="0"/>
        </w:rPr>
        <w:t>(Tourón, 1984</w:t>
      </w:r>
      <w:r>
        <w:rPr>
          <w:b w:val="0"/>
        </w:rPr>
        <w:t>,</w:t>
      </w:r>
      <w:r w:rsidRPr="00745B85">
        <w:rPr>
          <w:b w:val="0"/>
        </w:rPr>
        <w:t xml:space="preserve"> De la Orden</w:t>
      </w:r>
      <w:r>
        <w:rPr>
          <w:b w:val="0"/>
        </w:rPr>
        <w:t xml:space="preserve">, </w:t>
      </w:r>
      <w:r w:rsidRPr="007C4D3C">
        <w:rPr>
          <w:b w:val="0"/>
        </w:rPr>
        <w:t xml:space="preserve">García </w:t>
      </w:r>
      <w:r w:rsidR="00120ED0">
        <w:rPr>
          <w:b w:val="0"/>
        </w:rPr>
        <w:t>y</w:t>
      </w:r>
      <w:r w:rsidRPr="007C4D3C">
        <w:rPr>
          <w:b w:val="0"/>
        </w:rPr>
        <w:t xml:space="preserve"> Gaviria, 1986). Los trabajos llevados a cabo por Sánchez (1996) y Tejedor (1998) </w:t>
      </w:r>
      <w:r w:rsidRPr="00745B85">
        <w:rPr>
          <w:b w:val="0"/>
        </w:rPr>
        <w:t>en la Universidad de Salamanca confirman que el mejor predictor del rendimiento académico universitario es el rendimiento académico previo y la pred</w:t>
      </w:r>
      <w:r>
        <w:rPr>
          <w:b w:val="0"/>
        </w:rPr>
        <w:t>icción mejora cuanto más cerca</w:t>
      </w:r>
      <w:r w:rsidRPr="00745B85">
        <w:rPr>
          <w:b w:val="0"/>
        </w:rPr>
        <w:t xml:space="preserve"> en el tiempo </w:t>
      </w:r>
      <w:r>
        <w:rPr>
          <w:b w:val="0"/>
        </w:rPr>
        <w:t xml:space="preserve">esté </w:t>
      </w:r>
      <w:r w:rsidRPr="00745B85">
        <w:rPr>
          <w:b w:val="0"/>
        </w:rPr>
        <w:t xml:space="preserve">medido el predictor. La explicación </w:t>
      </w:r>
      <w:r>
        <w:rPr>
          <w:b w:val="0"/>
        </w:rPr>
        <w:t xml:space="preserve">de estos hallazgos tiene que ver, tal como explica </w:t>
      </w:r>
      <w:r w:rsidRPr="00745B85">
        <w:rPr>
          <w:b w:val="0"/>
        </w:rPr>
        <w:t xml:space="preserve">Tourón (1985), </w:t>
      </w:r>
      <w:r>
        <w:rPr>
          <w:b w:val="0"/>
        </w:rPr>
        <w:t>con el hecho de</w:t>
      </w:r>
      <w:r w:rsidRPr="00745B85">
        <w:rPr>
          <w:b w:val="0"/>
        </w:rPr>
        <w:t xml:space="preserve"> que el rendimiento académico previo co</w:t>
      </w:r>
      <w:r>
        <w:rPr>
          <w:b w:val="0"/>
        </w:rPr>
        <w:t>nstituye una variable sintética</w:t>
      </w:r>
      <w:r w:rsidRPr="00745B85">
        <w:rPr>
          <w:b w:val="0"/>
        </w:rPr>
        <w:t xml:space="preserve"> en la que concurren numerosos factores (aptitud del alumno, voluntad, esfuerzo, características de la enseñanza que ha recibido) y que no s</w:t>
      </w:r>
      <w:r>
        <w:rPr>
          <w:b w:val="0"/>
        </w:rPr>
        <w:t>ó</w:t>
      </w:r>
      <w:r w:rsidRPr="00745B85">
        <w:rPr>
          <w:b w:val="0"/>
        </w:rPr>
        <w:t>lo refleja el resultado del aprendizaje sino que es una expresión, en cierto sentido, de toda la persona del estudiante.</w:t>
      </w:r>
      <w:r>
        <w:rPr>
          <w:b w:val="0"/>
        </w:rPr>
        <w:t xml:space="preserve"> De </w:t>
      </w:r>
      <w:r w:rsidRPr="004E4AB6">
        <w:rPr>
          <w:b w:val="0"/>
        </w:rPr>
        <w:t>este modo, el desempeño previo del estudiante parece ser  el determinante académico más</w:t>
      </w:r>
      <w:r>
        <w:rPr>
          <w:b w:val="0"/>
        </w:rPr>
        <w:t xml:space="preserve"> relevante del rendimiento.</w:t>
      </w:r>
    </w:p>
    <w:p w14:paraId="6ECEE7B2" w14:textId="77777777" w:rsidR="00C963B8" w:rsidRPr="00E73E2A" w:rsidRDefault="00C963B8" w:rsidP="00C963B8">
      <w:pPr>
        <w:pStyle w:val="BarraTitulo"/>
        <w:pBdr>
          <w:top w:val="none" w:sz="0" w:space="0" w:color="auto"/>
          <w:left w:val="none" w:sz="0" w:space="0" w:color="auto"/>
          <w:bottom w:val="none" w:sz="0" w:space="0" w:color="auto"/>
          <w:right w:val="none" w:sz="0" w:space="0" w:color="auto"/>
        </w:pBdr>
        <w:spacing w:line="360" w:lineRule="auto"/>
        <w:jc w:val="both"/>
        <w:rPr>
          <w:b w:val="0"/>
          <w:szCs w:val="24"/>
        </w:rPr>
      </w:pPr>
      <w:r w:rsidRPr="004E4AB6">
        <w:rPr>
          <w:b w:val="0"/>
          <w:szCs w:val="24"/>
        </w:rPr>
        <w:t>Los factores pedagógicos cada vez se asocian más fuertemente a la optimización del</w:t>
      </w:r>
      <w:r w:rsidRPr="00E73E2A">
        <w:rPr>
          <w:b w:val="0"/>
          <w:szCs w:val="24"/>
        </w:rPr>
        <w:t xml:space="preserve"> rendimiento de los alumnos universitarios. En este sentido, la investigación didáctica sobre pautas de actuación docente en el ámbito universitario, ha señalado algunos factores relacionados con la motivación, rendimiento y satisfacción de los alumnos (García-Valcárcel, 1991, 2001</w:t>
      </w:r>
      <w:r>
        <w:rPr>
          <w:b w:val="0"/>
          <w:szCs w:val="24"/>
        </w:rPr>
        <w:t xml:space="preserve">, </w:t>
      </w:r>
      <w:r>
        <w:rPr>
          <w:b w:val="0"/>
        </w:rPr>
        <w:t xml:space="preserve">Giovagnoli, </w:t>
      </w:r>
      <w:r w:rsidRPr="000F7ED3">
        <w:rPr>
          <w:b w:val="0"/>
        </w:rPr>
        <w:t>2</w:t>
      </w:r>
      <w:r>
        <w:rPr>
          <w:b w:val="0"/>
        </w:rPr>
        <w:t>007</w:t>
      </w:r>
      <w:r w:rsidRPr="00E73E2A">
        <w:rPr>
          <w:b w:val="0"/>
          <w:szCs w:val="24"/>
        </w:rPr>
        <w:t>) que resultan favorecedores de un buen rendimiento</w:t>
      </w:r>
      <w:r>
        <w:rPr>
          <w:b w:val="0"/>
          <w:szCs w:val="24"/>
        </w:rPr>
        <w:t xml:space="preserve"> a saber:</w:t>
      </w:r>
      <w:r w:rsidRPr="00E73E2A">
        <w:rPr>
          <w:b w:val="0"/>
          <w:szCs w:val="24"/>
        </w:rPr>
        <w:t xml:space="preserve"> la presentación de los objetivos de la asignatura; la consideración de qué capacidades cognitivas se están desarrollando en los alumnos (memorización, comprensión, aplicación de los conocimientos a situaciones nuevas,</w:t>
      </w:r>
      <w:r>
        <w:rPr>
          <w:b w:val="0"/>
          <w:szCs w:val="24"/>
        </w:rPr>
        <w:t xml:space="preserve"> etc.)</w:t>
      </w:r>
      <w:r w:rsidRPr="00E73E2A">
        <w:rPr>
          <w:b w:val="0"/>
          <w:szCs w:val="24"/>
        </w:rPr>
        <w:t xml:space="preserve">; el hecho de que el profesor se muestre cercano a los alumnos; se adapte a su nivel de conocimientos; intente ser objetivo poniendo de relieve distintos puntos de vista o teorías sobre un determinado tema, mostrándose tolerante ante otras opiniones; relacione los contenidos de la asignatura con problemas significativos para los estudiantes (actuales, próximos); se muestre flexible para adaptarse a las circunstancias del momento, </w:t>
      </w:r>
      <w:r>
        <w:rPr>
          <w:b w:val="0"/>
          <w:szCs w:val="24"/>
        </w:rPr>
        <w:t xml:space="preserve">y tenga </w:t>
      </w:r>
      <w:r w:rsidRPr="00E73E2A">
        <w:rPr>
          <w:b w:val="0"/>
          <w:szCs w:val="24"/>
        </w:rPr>
        <w:t>en cuenta los intereses, necesidade</w:t>
      </w:r>
      <w:r>
        <w:rPr>
          <w:b w:val="0"/>
          <w:szCs w:val="24"/>
        </w:rPr>
        <w:t>s y experiencias de los alumnos;</w:t>
      </w:r>
      <w:r w:rsidRPr="00E73E2A">
        <w:rPr>
          <w:b w:val="0"/>
          <w:szCs w:val="24"/>
        </w:rPr>
        <w:t xml:space="preserve"> ajuste a la actividad realizada el sistema de evaluación,</w:t>
      </w:r>
      <w:r>
        <w:rPr>
          <w:b w:val="0"/>
          <w:szCs w:val="24"/>
        </w:rPr>
        <w:t xml:space="preserve"> entre otros </w:t>
      </w:r>
      <w:r w:rsidRPr="00E73E2A">
        <w:rPr>
          <w:b w:val="0"/>
          <w:szCs w:val="24"/>
        </w:rPr>
        <w:t>(Tejedor, 2003).</w:t>
      </w:r>
    </w:p>
    <w:p w14:paraId="129B8AE8" w14:textId="5BC5A79B" w:rsidR="00C963B8" w:rsidRDefault="00C963B8" w:rsidP="00C963B8">
      <w:pPr>
        <w:pStyle w:val="BarraTitulo"/>
        <w:pBdr>
          <w:top w:val="none" w:sz="0" w:space="0" w:color="auto"/>
          <w:left w:val="none" w:sz="0" w:space="0" w:color="auto"/>
          <w:bottom w:val="none" w:sz="0" w:space="0" w:color="auto"/>
          <w:right w:val="none" w:sz="0" w:space="0" w:color="auto"/>
        </w:pBdr>
        <w:spacing w:line="360" w:lineRule="auto"/>
        <w:jc w:val="both"/>
        <w:rPr>
          <w:rFonts w:eastAsiaTheme="minorEastAsia"/>
          <w:b w:val="0"/>
          <w:szCs w:val="24"/>
          <w:lang w:val="es-AR" w:eastAsia="ja-JP"/>
        </w:rPr>
      </w:pPr>
      <w:r w:rsidRPr="004E4AB6">
        <w:rPr>
          <w:b w:val="0"/>
          <w:szCs w:val="24"/>
        </w:rPr>
        <w:t>Los factores institucionales refieren a las características estructurales y funcionales que difieren</w:t>
      </w:r>
      <w:r>
        <w:rPr>
          <w:b w:val="0"/>
          <w:szCs w:val="24"/>
        </w:rPr>
        <w:t xml:space="preserve"> en cada institución y que confieren a la universidad particularidades propias. No obstante,</w:t>
      </w:r>
      <w:r w:rsidRPr="00E73E2A">
        <w:rPr>
          <w:b w:val="0"/>
          <w:szCs w:val="24"/>
        </w:rPr>
        <w:t xml:space="preserve"> involucran también un conjunto de variables sobre las que también es posible intervenir en pos de la mejora del rendimiento de los estudiantes. La identificación de las que más inciden en el rendimiento varían de acuerdo a la propuesta educativa de cada Universidad.</w:t>
      </w:r>
      <w:r>
        <w:rPr>
          <w:b w:val="0"/>
          <w:szCs w:val="24"/>
        </w:rPr>
        <w:t xml:space="preserve"> </w:t>
      </w:r>
      <w:r w:rsidRPr="00E73E2A">
        <w:rPr>
          <w:b w:val="0"/>
          <w:szCs w:val="24"/>
        </w:rPr>
        <w:t xml:space="preserve">En particular, en la investigación de </w:t>
      </w:r>
      <w:r w:rsidRPr="00E73E2A">
        <w:rPr>
          <w:rFonts w:eastAsiaTheme="minorEastAsia"/>
          <w:b w:val="0"/>
          <w:szCs w:val="24"/>
          <w:lang w:eastAsia="ja-JP"/>
        </w:rPr>
        <w:t xml:space="preserve">Tejedor </w:t>
      </w:r>
      <w:r w:rsidR="00120ED0">
        <w:rPr>
          <w:rFonts w:eastAsiaTheme="minorEastAsia"/>
          <w:b w:val="0"/>
          <w:szCs w:val="24"/>
          <w:lang w:eastAsia="ja-JP"/>
        </w:rPr>
        <w:t>y</w:t>
      </w:r>
      <w:r w:rsidRPr="00E73E2A">
        <w:rPr>
          <w:rFonts w:eastAsiaTheme="minorEastAsia"/>
          <w:b w:val="0"/>
          <w:szCs w:val="24"/>
          <w:lang w:eastAsia="ja-JP"/>
        </w:rPr>
        <w:t xml:space="preserve"> García-Valcárcel (2007), realizada en la Universidad de Salamanca, </w:t>
      </w:r>
      <w:r w:rsidRPr="00E73E2A">
        <w:rPr>
          <w:rFonts w:eastAsiaTheme="minorEastAsia"/>
          <w:b w:val="0"/>
          <w:szCs w:val="24"/>
          <w:lang w:val="es-AR" w:eastAsia="ja-JP"/>
        </w:rPr>
        <w:t xml:space="preserve">el excesivo número de asignaturas que los alumnos deben cursar, el carácter </w:t>
      </w:r>
      <w:r w:rsidRPr="00E73E2A">
        <w:rPr>
          <w:rFonts w:eastAsiaTheme="minorEastAsia"/>
          <w:b w:val="0"/>
          <w:szCs w:val="24"/>
          <w:lang w:val="es-AR" w:eastAsia="ja-JP"/>
        </w:rPr>
        <w:lastRenderedPageBreak/>
        <w:t>cuatrimestral de las mismas y la falta de coordinación entre los programas de las materias son las variables institucionales que más inciden en el bajo rendimiento del estudiante universitario.</w:t>
      </w:r>
    </w:p>
    <w:p w14:paraId="46572AD7" w14:textId="77186D54" w:rsidR="00C963B8" w:rsidRDefault="00C963B8" w:rsidP="00C963B8">
      <w:pPr>
        <w:spacing w:line="360" w:lineRule="auto"/>
        <w:jc w:val="both"/>
        <w:rPr>
          <w:rFonts w:eastAsiaTheme="minorEastAsia"/>
          <w:szCs w:val="24"/>
          <w:lang w:val="es-AR" w:eastAsia="ja-JP"/>
        </w:rPr>
      </w:pPr>
      <w:r w:rsidRPr="006706C3">
        <w:rPr>
          <w:szCs w:val="24"/>
        </w:rPr>
        <w:t>En lo que respecta a las investigaciones específicamente orientadas a determinar la incidencia de los factores antes referidos en el rendimiento en exámenes finales</w:t>
      </w:r>
      <w:r>
        <w:rPr>
          <w:szCs w:val="24"/>
        </w:rPr>
        <w:t>,</w:t>
      </w:r>
      <w:r w:rsidRPr="006706C3">
        <w:rPr>
          <w:szCs w:val="24"/>
        </w:rPr>
        <w:t xml:space="preserve"> son escasos los antecedentes re</w:t>
      </w:r>
      <w:r>
        <w:rPr>
          <w:szCs w:val="24"/>
        </w:rPr>
        <w:t>gistra</w:t>
      </w:r>
      <w:r w:rsidRPr="006706C3">
        <w:rPr>
          <w:szCs w:val="24"/>
        </w:rPr>
        <w:t>dos. No obstante, resulta desta</w:t>
      </w:r>
      <w:r>
        <w:rPr>
          <w:szCs w:val="24"/>
        </w:rPr>
        <w:t xml:space="preserve">cable el estudio realizado por Sanz, Madoz, Gorga </w:t>
      </w:r>
      <w:r w:rsidR="00120ED0">
        <w:rPr>
          <w:szCs w:val="24"/>
        </w:rPr>
        <w:t>y</w:t>
      </w:r>
      <w:r>
        <w:rPr>
          <w:szCs w:val="24"/>
        </w:rPr>
        <w:t xml:space="preserve"> González (2009) </w:t>
      </w:r>
      <w:r w:rsidRPr="006706C3">
        <w:rPr>
          <w:szCs w:val="24"/>
        </w:rPr>
        <w:t xml:space="preserve">en el marco del desarrollo de una experiencia </w:t>
      </w:r>
      <w:r w:rsidRPr="006706C3">
        <w:rPr>
          <w:rFonts w:eastAsiaTheme="minorEastAsia"/>
          <w:szCs w:val="24"/>
          <w:lang w:val="es-AR" w:eastAsia="ja-JP"/>
        </w:rPr>
        <w:t>educativa realizada en el ámbito de la Facultad de Informática de la U</w:t>
      </w:r>
      <w:r>
        <w:rPr>
          <w:rFonts w:eastAsiaTheme="minorEastAsia"/>
          <w:szCs w:val="24"/>
          <w:lang w:val="es-AR" w:eastAsia="ja-JP"/>
        </w:rPr>
        <w:t xml:space="preserve">niversidad </w:t>
      </w:r>
      <w:r w:rsidRPr="006706C3">
        <w:rPr>
          <w:rFonts w:eastAsiaTheme="minorEastAsia"/>
          <w:szCs w:val="24"/>
          <w:lang w:val="es-AR" w:eastAsia="ja-JP"/>
        </w:rPr>
        <w:t>N</w:t>
      </w:r>
      <w:r>
        <w:rPr>
          <w:rFonts w:eastAsiaTheme="minorEastAsia"/>
          <w:szCs w:val="24"/>
          <w:lang w:val="es-AR" w:eastAsia="ja-JP"/>
        </w:rPr>
        <w:t xml:space="preserve">acional de </w:t>
      </w:r>
      <w:r w:rsidRPr="006706C3">
        <w:rPr>
          <w:rFonts w:eastAsiaTheme="minorEastAsia"/>
          <w:szCs w:val="24"/>
          <w:lang w:val="es-AR" w:eastAsia="ja-JP"/>
        </w:rPr>
        <w:t>L</w:t>
      </w:r>
      <w:r>
        <w:rPr>
          <w:rFonts w:eastAsiaTheme="minorEastAsia"/>
          <w:szCs w:val="24"/>
          <w:lang w:val="es-AR" w:eastAsia="ja-JP"/>
        </w:rPr>
        <w:t xml:space="preserve">a </w:t>
      </w:r>
      <w:r w:rsidRPr="006706C3">
        <w:rPr>
          <w:rFonts w:eastAsiaTheme="minorEastAsia"/>
          <w:szCs w:val="24"/>
          <w:lang w:val="es-AR" w:eastAsia="ja-JP"/>
        </w:rPr>
        <w:t>P</w:t>
      </w:r>
      <w:r>
        <w:rPr>
          <w:rFonts w:eastAsiaTheme="minorEastAsia"/>
          <w:szCs w:val="24"/>
          <w:lang w:val="es-AR" w:eastAsia="ja-JP"/>
        </w:rPr>
        <w:t>lata</w:t>
      </w:r>
      <w:r w:rsidRPr="006706C3">
        <w:rPr>
          <w:rFonts w:eastAsiaTheme="minorEastAsia"/>
          <w:szCs w:val="24"/>
          <w:lang w:val="es-AR" w:eastAsia="ja-JP"/>
        </w:rPr>
        <w:t xml:space="preserve">, con el fin de brindar a los alumnos un espacio de apoyo para la preparación para rendir el examen final de la </w:t>
      </w:r>
      <w:r>
        <w:rPr>
          <w:rFonts w:eastAsiaTheme="minorEastAsia"/>
          <w:szCs w:val="24"/>
          <w:lang w:val="es-AR" w:eastAsia="ja-JP"/>
        </w:rPr>
        <w:t>asignatura</w:t>
      </w:r>
      <w:r w:rsidRPr="006706C3">
        <w:rPr>
          <w:rFonts w:eastAsiaTheme="minorEastAsia"/>
          <w:szCs w:val="24"/>
          <w:lang w:val="es-AR" w:eastAsia="ja-JP"/>
        </w:rPr>
        <w:t xml:space="preserve"> Programación de Computadoras</w:t>
      </w:r>
      <w:r>
        <w:rPr>
          <w:rFonts w:eastAsiaTheme="minorEastAsia"/>
          <w:szCs w:val="24"/>
          <w:lang w:val="es-AR" w:eastAsia="ja-JP"/>
        </w:rPr>
        <w:t>.  La experiencia implicó el diseño de una estrategia didáctica que fue sustentada, en parte, en los datos obtenidos a través de una encuesta realizada a los estudiantes en la que se indagaba acerca de las principales dificultades que podrían operar como causas del mal desempeño en los exámenes finales.</w:t>
      </w:r>
    </w:p>
    <w:p w14:paraId="211DF053" w14:textId="3B78BFDC" w:rsidR="004E4AB6" w:rsidRPr="00C963B8" w:rsidRDefault="004E4AB6" w:rsidP="004E4AB6">
      <w:pPr>
        <w:spacing w:line="360" w:lineRule="auto"/>
        <w:jc w:val="both"/>
        <w:rPr>
          <w:szCs w:val="24"/>
        </w:rPr>
      </w:pPr>
      <w:r>
        <w:rPr>
          <w:szCs w:val="24"/>
        </w:rPr>
        <w:t>De este modo</w:t>
      </w:r>
      <w:r w:rsidRPr="00C963B8">
        <w:rPr>
          <w:szCs w:val="24"/>
        </w:rPr>
        <w:t xml:space="preserve">, el conocimiento de los factores institucionales, pedagógicos y académicos es el que resulta especialmente relevante para generar insumos para la toma de decisiones de política académica. La presente investigación se encuadra, precisamente, en la línea de trabajos que apuntan a generar conocimiento </w:t>
      </w:r>
      <w:r>
        <w:rPr>
          <w:szCs w:val="24"/>
        </w:rPr>
        <w:t xml:space="preserve">sobre </w:t>
      </w:r>
      <w:r w:rsidRPr="00C963B8">
        <w:rPr>
          <w:szCs w:val="24"/>
        </w:rPr>
        <w:t>el rendimien</w:t>
      </w:r>
      <w:r>
        <w:rPr>
          <w:szCs w:val="24"/>
        </w:rPr>
        <w:t xml:space="preserve">to académico de los estudiantes, para </w:t>
      </w:r>
      <w:r w:rsidR="00120ED0">
        <w:rPr>
          <w:szCs w:val="24"/>
        </w:rPr>
        <w:t xml:space="preserve">generar </w:t>
      </w:r>
      <w:r>
        <w:rPr>
          <w:szCs w:val="24"/>
        </w:rPr>
        <w:t xml:space="preserve">una base sólida que permita avanzar luego sobre el estudio de </w:t>
      </w:r>
      <w:r w:rsidRPr="00C963B8">
        <w:rPr>
          <w:szCs w:val="24"/>
        </w:rPr>
        <w:t xml:space="preserve">aquellas variables que inciden en </w:t>
      </w:r>
      <w:r w:rsidR="00120ED0">
        <w:rPr>
          <w:szCs w:val="24"/>
        </w:rPr>
        <w:t xml:space="preserve">el mismo </w:t>
      </w:r>
      <w:r w:rsidRPr="00C963B8">
        <w:rPr>
          <w:szCs w:val="24"/>
        </w:rPr>
        <w:t>y</w:t>
      </w:r>
      <w:r w:rsidR="00120ED0">
        <w:rPr>
          <w:szCs w:val="24"/>
        </w:rPr>
        <w:t>, principalmente, sobre aquellas que pueden ser</w:t>
      </w:r>
      <w:r w:rsidRPr="00C963B8">
        <w:rPr>
          <w:szCs w:val="24"/>
        </w:rPr>
        <w:t xml:space="preserve"> controladas o modificadas para producir cambios tendientes a su mejora.</w:t>
      </w:r>
    </w:p>
    <w:p w14:paraId="19CFF9A3" w14:textId="52123B6E" w:rsidR="004E4AB6" w:rsidRDefault="004E4AB6" w:rsidP="00C963B8">
      <w:pPr>
        <w:spacing w:line="360" w:lineRule="auto"/>
        <w:jc w:val="both"/>
        <w:rPr>
          <w:rFonts w:eastAsiaTheme="minorEastAsia"/>
          <w:szCs w:val="24"/>
          <w:lang w:val="es-AR" w:eastAsia="ja-JP"/>
        </w:rPr>
      </w:pPr>
    </w:p>
    <w:p w14:paraId="33DF73A7" w14:textId="3E02F0B7" w:rsidR="004C2F7D" w:rsidRPr="00734E6C" w:rsidRDefault="00734E6C" w:rsidP="00734E6C">
      <w:pPr>
        <w:spacing w:line="360" w:lineRule="auto"/>
        <w:jc w:val="both"/>
        <w:rPr>
          <w:b/>
          <w:szCs w:val="24"/>
        </w:rPr>
      </w:pPr>
      <w:r>
        <w:rPr>
          <w:b/>
          <w:szCs w:val="24"/>
        </w:rPr>
        <w:t xml:space="preserve">3. </w:t>
      </w:r>
      <w:r w:rsidR="004C2F7D" w:rsidRPr="00734E6C">
        <w:rPr>
          <w:b/>
          <w:szCs w:val="24"/>
        </w:rPr>
        <w:t>Aspectos metodológicos de la investigación</w:t>
      </w:r>
    </w:p>
    <w:p w14:paraId="48AFD6B8" w14:textId="712DF34E" w:rsidR="006515BF" w:rsidRDefault="00917E53" w:rsidP="004C2F7D">
      <w:pPr>
        <w:pStyle w:val="BarraTitulo"/>
        <w:pBdr>
          <w:top w:val="none" w:sz="0" w:space="0" w:color="auto"/>
          <w:left w:val="none" w:sz="0" w:space="0" w:color="auto"/>
          <w:bottom w:val="none" w:sz="0" w:space="0" w:color="auto"/>
          <w:right w:val="none" w:sz="0" w:space="0" w:color="auto"/>
        </w:pBdr>
        <w:spacing w:before="30" w:after="30" w:line="360" w:lineRule="auto"/>
        <w:jc w:val="both"/>
        <w:rPr>
          <w:rFonts w:eastAsiaTheme="minorEastAsia"/>
          <w:b w:val="0"/>
          <w:szCs w:val="24"/>
          <w:lang w:eastAsia="ja-JP"/>
        </w:rPr>
      </w:pPr>
      <w:r w:rsidRPr="00917E53">
        <w:rPr>
          <w:rFonts w:eastAsiaTheme="minorEastAsia"/>
          <w:b w:val="0"/>
          <w:szCs w:val="24"/>
          <w:lang w:eastAsia="ja-JP"/>
        </w:rPr>
        <w:t xml:space="preserve">Siguiendo la clasificación de Hernández, Fernández y </w:t>
      </w:r>
      <w:r w:rsidR="00D77548">
        <w:rPr>
          <w:rFonts w:eastAsiaTheme="minorEastAsia"/>
          <w:b w:val="0"/>
          <w:szCs w:val="24"/>
          <w:lang w:eastAsia="ja-JP"/>
        </w:rPr>
        <w:t>Baptista</w:t>
      </w:r>
      <w:r w:rsidRPr="00917E53">
        <w:rPr>
          <w:rFonts w:eastAsiaTheme="minorEastAsia"/>
          <w:b w:val="0"/>
          <w:szCs w:val="24"/>
          <w:lang w:eastAsia="ja-JP"/>
        </w:rPr>
        <w:t xml:space="preserve"> (2014), la presente investigación es no experimental, en tanto se trata de un estudio que se realiza sin manipulación deliberada de variables y en el que solo se observa el fenómeno sometido a estudio en su contexto natural, para analizarlo. En lo que respecta al alcance, siguiendo también a Hernández et al. </w:t>
      </w:r>
      <w:r w:rsidR="00734E6C">
        <w:rPr>
          <w:rFonts w:eastAsiaTheme="minorEastAsia"/>
          <w:b w:val="0"/>
          <w:szCs w:val="24"/>
          <w:lang w:eastAsia="ja-JP"/>
        </w:rPr>
        <w:t>(2014), la investigación tiene carácter</w:t>
      </w:r>
      <w:r w:rsidRPr="00917E53">
        <w:rPr>
          <w:rFonts w:eastAsiaTheme="minorEastAsia"/>
          <w:b w:val="0"/>
          <w:szCs w:val="24"/>
          <w:lang w:eastAsia="ja-JP"/>
        </w:rPr>
        <w:t xml:space="preserve"> descriptivo</w:t>
      </w:r>
      <w:r w:rsidR="00734E6C">
        <w:rPr>
          <w:rFonts w:eastAsiaTheme="minorEastAsia"/>
          <w:b w:val="0"/>
          <w:szCs w:val="24"/>
          <w:lang w:eastAsia="ja-JP"/>
        </w:rPr>
        <w:t xml:space="preserve">. Así, </w:t>
      </w:r>
      <w:r w:rsidR="004C2F7D">
        <w:rPr>
          <w:rFonts w:eastAsiaTheme="minorEastAsia"/>
          <w:b w:val="0"/>
          <w:szCs w:val="24"/>
          <w:lang w:eastAsia="ja-JP"/>
        </w:rPr>
        <w:t xml:space="preserve">por un lado, </w:t>
      </w:r>
      <w:r w:rsidR="00396AB8">
        <w:rPr>
          <w:rFonts w:eastAsiaTheme="minorEastAsia"/>
          <w:b w:val="0"/>
          <w:szCs w:val="24"/>
          <w:lang w:eastAsia="ja-JP"/>
        </w:rPr>
        <w:t xml:space="preserve">se pretende </w:t>
      </w:r>
      <w:r w:rsidRPr="00917E53">
        <w:rPr>
          <w:rFonts w:eastAsiaTheme="minorEastAsia"/>
          <w:b w:val="0"/>
          <w:szCs w:val="24"/>
          <w:lang w:eastAsia="ja-JP"/>
        </w:rPr>
        <w:t>especificar las características de un grupo de estudiantes en lo que respecta a su</w:t>
      </w:r>
      <w:r w:rsidR="004C2F7D">
        <w:rPr>
          <w:rFonts w:eastAsiaTheme="minorEastAsia"/>
          <w:b w:val="0"/>
          <w:szCs w:val="24"/>
          <w:lang w:eastAsia="ja-JP"/>
        </w:rPr>
        <w:t xml:space="preserve"> rendimiento académico tanto durante el cursado de la materia para la obtención de la regularidad, como en la instancia del examen final para la aprobación del espacio curricular</w:t>
      </w:r>
      <w:r w:rsidR="00734E6C">
        <w:rPr>
          <w:rFonts w:eastAsiaTheme="minorEastAsia"/>
          <w:b w:val="0"/>
          <w:szCs w:val="24"/>
          <w:lang w:eastAsia="ja-JP"/>
        </w:rPr>
        <w:t xml:space="preserve">. Asimismo, y para poder </w:t>
      </w:r>
      <w:r w:rsidR="006515BF">
        <w:rPr>
          <w:rFonts w:eastAsiaTheme="minorEastAsia"/>
          <w:b w:val="0"/>
          <w:szCs w:val="24"/>
          <w:lang w:eastAsia="ja-JP"/>
        </w:rPr>
        <w:t xml:space="preserve">analizar </w:t>
      </w:r>
      <w:r w:rsidR="00734E6C">
        <w:rPr>
          <w:rFonts w:eastAsiaTheme="minorEastAsia"/>
          <w:b w:val="0"/>
          <w:szCs w:val="24"/>
          <w:lang w:eastAsia="ja-JP"/>
        </w:rPr>
        <w:t>si</w:t>
      </w:r>
      <w:r w:rsidR="006515BF">
        <w:rPr>
          <w:rFonts w:eastAsiaTheme="minorEastAsia"/>
          <w:b w:val="0"/>
          <w:szCs w:val="24"/>
          <w:lang w:eastAsia="ja-JP"/>
        </w:rPr>
        <w:t xml:space="preserve"> </w:t>
      </w:r>
      <w:r w:rsidR="006515BF" w:rsidRPr="006515BF">
        <w:rPr>
          <w:rFonts w:eastAsiaTheme="minorEastAsia"/>
          <w:b w:val="0"/>
          <w:szCs w:val="24"/>
          <w:lang w:eastAsia="ja-JP"/>
        </w:rPr>
        <w:t xml:space="preserve">los cambios pedagógicos producidos </w:t>
      </w:r>
      <w:r w:rsidR="00734E6C" w:rsidRPr="006515BF">
        <w:rPr>
          <w:rFonts w:eastAsiaTheme="minorEastAsia"/>
          <w:b w:val="0"/>
          <w:szCs w:val="24"/>
          <w:lang w:eastAsia="ja-JP"/>
        </w:rPr>
        <w:t xml:space="preserve">a raíz del COVID-19 </w:t>
      </w:r>
      <w:r w:rsidR="006515BF" w:rsidRPr="006515BF">
        <w:rPr>
          <w:rFonts w:eastAsiaTheme="minorEastAsia"/>
          <w:b w:val="0"/>
          <w:szCs w:val="24"/>
          <w:lang w:eastAsia="ja-JP"/>
        </w:rPr>
        <w:t xml:space="preserve">han </w:t>
      </w:r>
      <w:r w:rsidR="00734E6C" w:rsidRPr="006515BF">
        <w:rPr>
          <w:rFonts w:eastAsiaTheme="minorEastAsia"/>
          <w:b w:val="0"/>
          <w:szCs w:val="24"/>
          <w:lang w:eastAsia="ja-JP"/>
        </w:rPr>
        <w:t>afect</w:t>
      </w:r>
      <w:r w:rsidR="006515BF" w:rsidRPr="006515BF">
        <w:rPr>
          <w:rFonts w:eastAsiaTheme="minorEastAsia"/>
          <w:b w:val="0"/>
          <w:szCs w:val="24"/>
          <w:lang w:eastAsia="ja-JP"/>
        </w:rPr>
        <w:t>ado</w:t>
      </w:r>
      <w:r w:rsidR="00734E6C" w:rsidRPr="006515BF">
        <w:rPr>
          <w:rFonts w:eastAsiaTheme="minorEastAsia"/>
          <w:b w:val="0"/>
          <w:szCs w:val="24"/>
          <w:lang w:eastAsia="ja-JP"/>
        </w:rPr>
        <w:t xml:space="preserve"> el rendimiento de los</w:t>
      </w:r>
      <w:r w:rsidR="00734E6C">
        <w:rPr>
          <w:rFonts w:eastAsiaTheme="minorEastAsia"/>
          <w:b w:val="0"/>
          <w:szCs w:val="24"/>
          <w:lang w:eastAsia="ja-JP"/>
        </w:rPr>
        <w:t xml:space="preserve"> alumnos</w:t>
      </w:r>
      <w:r w:rsidR="006515BF">
        <w:rPr>
          <w:rFonts w:eastAsiaTheme="minorEastAsia"/>
          <w:b w:val="0"/>
          <w:szCs w:val="24"/>
          <w:lang w:eastAsia="ja-JP"/>
        </w:rPr>
        <w:t xml:space="preserve">, se </w:t>
      </w:r>
      <w:r w:rsidR="004C2F7D">
        <w:rPr>
          <w:rFonts w:eastAsiaTheme="minorEastAsia"/>
          <w:b w:val="0"/>
          <w:szCs w:val="24"/>
          <w:lang w:eastAsia="ja-JP"/>
        </w:rPr>
        <w:t xml:space="preserve">compara </w:t>
      </w:r>
      <w:r w:rsidR="006515BF">
        <w:rPr>
          <w:rFonts w:eastAsiaTheme="minorEastAsia"/>
          <w:b w:val="0"/>
          <w:szCs w:val="24"/>
          <w:lang w:eastAsia="ja-JP"/>
        </w:rPr>
        <w:t xml:space="preserve">el rendimiento logrado en los años 2018 y </w:t>
      </w:r>
      <w:r w:rsidR="004C2F7D">
        <w:rPr>
          <w:rFonts w:eastAsiaTheme="minorEastAsia"/>
          <w:b w:val="0"/>
          <w:szCs w:val="24"/>
          <w:lang w:eastAsia="ja-JP"/>
        </w:rPr>
        <w:t>2019</w:t>
      </w:r>
      <w:r w:rsidR="006515BF">
        <w:rPr>
          <w:rFonts w:eastAsiaTheme="minorEastAsia"/>
          <w:b w:val="0"/>
          <w:szCs w:val="24"/>
          <w:lang w:eastAsia="ja-JP"/>
        </w:rPr>
        <w:t xml:space="preserve">, correspondientes a un período que puede considerarse de “normalidad”, </w:t>
      </w:r>
      <w:r w:rsidR="00734E6C">
        <w:rPr>
          <w:rFonts w:eastAsiaTheme="minorEastAsia"/>
          <w:b w:val="0"/>
          <w:szCs w:val="24"/>
          <w:lang w:eastAsia="ja-JP"/>
        </w:rPr>
        <w:t xml:space="preserve">con </w:t>
      </w:r>
      <w:r w:rsidR="006515BF">
        <w:rPr>
          <w:rFonts w:eastAsiaTheme="minorEastAsia"/>
          <w:b w:val="0"/>
          <w:szCs w:val="24"/>
          <w:lang w:eastAsia="ja-JP"/>
        </w:rPr>
        <w:t>el alcanzado en</w:t>
      </w:r>
      <w:r w:rsidR="00734E6C">
        <w:rPr>
          <w:rFonts w:eastAsiaTheme="minorEastAsia"/>
          <w:b w:val="0"/>
          <w:szCs w:val="24"/>
          <w:lang w:eastAsia="ja-JP"/>
        </w:rPr>
        <w:t xml:space="preserve"> los años 2020</w:t>
      </w:r>
      <w:r w:rsidR="006515BF">
        <w:rPr>
          <w:rFonts w:eastAsiaTheme="minorEastAsia"/>
          <w:b w:val="0"/>
          <w:szCs w:val="24"/>
          <w:lang w:eastAsia="ja-JP"/>
        </w:rPr>
        <w:t xml:space="preserve"> y </w:t>
      </w:r>
      <w:r w:rsidR="00734E6C">
        <w:rPr>
          <w:rFonts w:eastAsiaTheme="minorEastAsia"/>
          <w:b w:val="0"/>
          <w:szCs w:val="24"/>
          <w:lang w:eastAsia="ja-JP"/>
        </w:rPr>
        <w:t>2021</w:t>
      </w:r>
      <w:r w:rsidR="006515BF">
        <w:rPr>
          <w:rFonts w:eastAsiaTheme="minorEastAsia"/>
          <w:b w:val="0"/>
          <w:szCs w:val="24"/>
          <w:lang w:eastAsia="ja-JP"/>
        </w:rPr>
        <w:t xml:space="preserve">, durante los cuales se trabajó en condiciones </w:t>
      </w:r>
      <w:r w:rsidR="004C2F7D">
        <w:rPr>
          <w:rFonts w:eastAsiaTheme="minorEastAsia"/>
          <w:b w:val="0"/>
          <w:szCs w:val="24"/>
          <w:lang w:eastAsia="ja-JP"/>
        </w:rPr>
        <w:t>de excepcionalidad pedagógica</w:t>
      </w:r>
      <w:r w:rsidR="006515BF">
        <w:rPr>
          <w:rFonts w:eastAsiaTheme="minorEastAsia"/>
          <w:b w:val="0"/>
          <w:szCs w:val="24"/>
          <w:lang w:eastAsia="ja-JP"/>
        </w:rPr>
        <w:t>.</w:t>
      </w:r>
    </w:p>
    <w:p w14:paraId="134B46CF" w14:textId="02C42113" w:rsidR="00917E53" w:rsidRPr="00917E53" w:rsidRDefault="00DF2ABE" w:rsidP="00FB303B">
      <w:pPr>
        <w:spacing w:before="30" w:after="30" w:line="360" w:lineRule="auto"/>
        <w:jc w:val="both"/>
        <w:rPr>
          <w:rFonts w:eastAsiaTheme="minorEastAsia"/>
          <w:noProof/>
          <w:szCs w:val="24"/>
          <w:lang w:eastAsia="ja-JP"/>
        </w:rPr>
      </w:pPr>
      <w:r>
        <w:rPr>
          <w:rFonts w:eastAsiaTheme="minorEastAsia"/>
          <w:noProof/>
          <w:szCs w:val="24"/>
          <w:lang w:eastAsia="ja-JP"/>
        </w:rPr>
        <w:t xml:space="preserve">En virtud de lo expuesto, los sujetos participantes del estudio son </w:t>
      </w:r>
      <w:r w:rsidR="00917E53" w:rsidRPr="00917E53">
        <w:rPr>
          <w:rFonts w:eastAsiaTheme="minorEastAsia"/>
          <w:noProof/>
          <w:szCs w:val="24"/>
          <w:lang w:eastAsia="ja-JP"/>
        </w:rPr>
        <w:t xml:space="preserve">los estudiantes </w:t>
      </w:r>
      <w:r w:rsidR="00F97AC1">
        <w:rPr>
          <w:rFonts w:eastAsiaTheme="minorEastAsia"/>
          <w:noProof/>
          <w:szCs w:val="24"/>
          <w:lang w:eastAsia="ja-JP"/>
        </w:rPr>
        <w:t xml:space="preserve">que cursaron </w:t>
      </w:r>
      <w:r w:rsidR="00917E53" w:rsidRPr="00917E53">
        <w:rPr>
          <w:rFonts w:eastAsiaTheme="minorEastAsia"/>
          <w:noProof/>
          <w:szCs w:val="24"/>
          <w:lang w:eastAsia="ja-JP"/>
        </w:rPr>
        <w:t>la asignatura MFyA</w:t>
      </w:r>
      <w:r>
        <w:rPr>
          <w:rFonts w:eastAsiaTheme="minorEastAsia"/>
          <w:noProof/>
          <w:szCs w:val="24"/>
          <w:lang w:eastAsia="ja-JP"/>
        </w:rPr>
        <w:t xml:space="preserve"> d</w:t>
      </w:r>
      <w:r w:rsidR="00917E53" w:rsidRPr="00917E53">
        <w:rPr>
          <w:rFonts w:eastAsiaTheme="minorEastAsia"/>
          <w:noProof/>
          <w:szCs w:val="24"/>
          <w:lang w:eastAsia="ja-JP"/>
        </w:rPr>
        <w:t xml:space="preserve">urante </w:t>
      </w:r>
      <w:r w:rsidR="004C2F7D">
        <w:rPr>
          <w:rFonts w:eastAsiaTheme="minorEastAsia"/>
          <w:noProof/>
          <w:szCs w:val="24"/>
          <w:lang w:eastAsia="ja-JP"/>
        </w:rPr>
        <w:t>los</w:t>
      </w:r>
      <w:r w:rsidR="00917E53" w:rsidRPr="00917E53">
        <w:rPr>
          <w:rFonts w:eastAsiaTheme="minorEastAsia"/>
          <w:noProof/>
          <w:szCs w:val="24"/>
          <w:lang w:eastAsia="ja-JP"/>
        </w:rPr>
        <w:t xml:space="preserve"> período académico</w:t>
      </w:r>
      <w:r w:rsidR="004C2F7D">
        <w:rPr>
          <w:rFonts w:eastAsiaTheme="minorEastAsia"/>
          <w:noProof/>
          <w:szCs w:val="24"/>
          <w:lang w:eastAsia="ja-JP"/>
        </w:rPr>
        <w:t>s 2018, 2019,</w:t>
      </w:r>
      <w:r w:rsidR="00917E53" w:rsidRPr="00917E53">
        <w:rPr>
          <w:rFonts w:eastAsiaTheme="minorEastAsia"/>
          <w:noProof/>
          <w:szCs w:val="24"/>
          <w:lang w:eastAsia="ja-JP"/>
        </w:rPr>
        <w:t xml:space="preserve"> 2020</w:t>
      </w:r>
      <w:r w:rsidR="004C2F7D">
        <w:rPr>
          <w:rFonts w:eastAsiaTheme="minorEastAsia"/>
          <w:noProof/>
          <w:szCs w:val="24"/>
          <w:lang w:eastAsia="ja-JP"/>
        </w:rPr>
        <w:t xml:space="preserve"> y 2021</w:t>
      </w:r>
      <w:r w:rsidR="00F97AC1">
        <w:rPr>
          <w:rFonts w:eastAsiaTheme="minorEastAsia"/>
          <w:noProof/>
          <w:szCs w:val="24"/>
          <w:lang w:eastAsia="ja-JP"/>
        </w:rPr>
        <w:t>.</w:t>
      </w:r>
      <w:r w:rsidR="00917E53" w:rsidRPr="00917E53">
        <w:rPr>
          <w:rFonts w:eastAsiaTheme="minorEastAsia"/>
          <w:noProof/>
          <w:szCs w:val="24"/>
          <w:lang w:eastAsia="ja-JP"/>
        </w:rPr>
        <w:t xml:space="preserve"> </w:t>
      </w:r>
    </w:p>
    <w:p w14:paraId="49E8209B" w14:textId="3431A2DF" w:rsidR="00917E53" w:rsidRDefault="009C3407" w:rsidP="00FB303B">
      <w:pPr>
        <w:spacing w:before="30" w:after="30" w:line="360" w:lineRule="auto"/>
        <w:jc w:val="both"/>
        <w:rPr>
          <w:rFonts w:eastAsiaTheme="minorEastAsia"/>
          <w:noProof/>
          <w:szCs w:val="24"/>
          <w:lang w:eastAsia="ja-JP"/>
        </w:rPr>
      </w:pPr>
      <w:r>
        <w:rPr>
          <w:rFonts w:eastAsiaTheme="minorEastAsia"/>
          <w:noProof/>
          <w:szCs w:val="24"/>
          <w:lang w:eastAsia="ja-JP"/>
        </w:rPr>
        <w:lastRenderedPageBreak/>
        <w:t xml:space="preserve">Para la recolección de datos </w:t>
      </w:r>
      <w:r w:rsidRPr="004B42B1">
        <w:rPr>
          <w:rFonts w:eastAsiaTheme="minorEastAsia"/>
          <w:szCs w:val="24"/>
          <w:lang w:eastAsia="ja-JP"/>
        </w:rPr>
        <w:t>se utiliz</w:t>
      </w:r>
      <w:r>
        <w:rPr>
          <w:rFonts w:eastAsiaTheme="minorEastAsia"/>
          <w:szCs w:val="24"/>
          <w:lang w:eastAsia="ja-JP"/>
        </w:rPr>
        <w:t xml:space="preserve">aron </w:t>
      </w:r>
      <w:r w:rsidRPr="004B42B1">
        <w:rPr>
          <w:rFonts w:eastAsiaTheme="minorEastAsia"/>
          <w:szCs w:val="24"/>
          <w:lang w:eastAsia="ja-JP"/>
        </w:rPr>
        <w:t>las planillas de regularidades y las actas de exámenes finales</w:t>
      </w:r>
      <w:r>
        <w:rPr>
          <w:rFonts w:eastAsiaTheme="minorEastAsia"/>
          <w:szCs w:val="24"/>
          <w:lang w:eastAsia="ja-JP"/>
        </w:rPr>
        <w:t>. En este sentido, es importante mencionar que, p</w:t>
      </w:r>
      <w:r w:rsidR="009B09D0">
        <w:rPr>
          <w:rFonts w:eastAsiaTheme="minorEastAsia"/>
          <w:noProof/>
          <w:szCs w:val="24"/>
          <w:lang w:eastAsia="ja-JP"/>
        </w:rPr>
        <w:t xml:space="preserve">ara todos los años </w:t>
      </w:r>
      <w:r w:rsidR="00BF7DCE">
        <w:rPr>
          <w:rFonts w:eastAsiaTheme="minorEastAsia"/>
          <w:noProof/>
          <w:szCs w:val="24"/>
          <w:lang w:eastAsia="ja-JP"/>
        </w:rPr>
        <w:t>analizados</w:t>
      </w:r>
      <w:r w:rsidR="009B09D0">
        <w:rPr>
          <w:rFonts w:eastAsiaTheme="minorEastAsia"/>
          <w:noProof/>
          <w:szCs w:val="24"/>
          <w:lang w:eastAsia="ja-JP"/>
        </w:rPr>
        <w:t xml:space="preserve"> en el presente trabajo, la regularidad</w:t>
      </w:r>
      <w:r w:rsidR="008B517E">
        <w:rPr>
          <w:rFonts w:eastAsiaTheme="minorEastAsia"/>
          <w:noProof/>
          <w:szCs w:val="24"/>
          <w:lang w:eastAsia="ja-JP"/>
        </w:rPr>
        <w:t xml:space="preserve"> por parte de los alumnos</w:t>
      </w:r>
      <w:r w:rsidR="009B09D0">
        <w:rPr>
          <w:rFonts w:eastAsiaTheme="minorEastAsia"/>
          <w:noProof/>
          <w:szCs w:val="24"/>
          <w:lang w:eastAsia="ja-JP"/>
        </w:rPr>
        <w:t xml:space="preserve"> se obtuvo a través de la aprobación (con nota igual o mayor de 4) </w:t>
      </w:r>
      <w:r w:rsidR="00917E53" w:rsidRPr="00917E53">
        <w:rPr>
          <w:rFonts w:eastAsiaTheme="minorEastAsia"/>
          <w:noProof/>
          <w:szCs w:val="24"/>
          <w:lang w:eastAsia="ja-JP"/>
        </w:rPr>
        <w:t xml:space="preserve">de dos </w:t>
      </w:r>
      <w:r w:rsidR="009B09D0">
        <w:rPr>
          <w:rFonts w:eastAsiaTheme="minorEastAsia"/>
          <w:noProof/>
          <w:szCs w:val="24"/>
          <w:lang w:eastAsia="ja-JP"/>
        </w:rPr>
        <w:t>evaluaciones</w:t>
      </w:r>
      <w:r w:rsidR="00917E53" w:rsidRPr="00917E53">
        <w:rPr>
          <w:rFonts w:eastAsiaTheme="minorEastAsia"/>
          <w:noProof/>
          <w:szCs w:val="24"/>
          <w:lang w:eastAsia="ja-JP"/>
        </w:rPr>
        <w:t xml:space="preserve"> parciales, con posibilidad de recuperar un</w:t>
      </w:r>
      <w:r>
        <w:rPr>
          <w:rFonts w:eastAsiaTheme="minorEastAsia"/>
          <w:noProof/>
          <w:szCs w:val="24"/>
          <w:lang w:eastAsia="ja-JP"/>
        </w:rPr>
        <w:t>a</w:t>
      </w:r>
      <w:r w:rsidR="00917E53" w:rsidRPr="00917E53">
        <w:rPr>
          <w:rFonts w:eastAsiaTheme="minorEastAsia"/>
          <w:noProof/>
          <w:szCs w:val="24"/>
          <w:lang w:eastAsia="ja-JP"/>
        </w:rPr>
        <w:t xml:space="preserve"> de ellos.</w:t>
      </w:r>
      <w:r w:rsidR="009B09D0">
        <w:rPr>
          <w:rFonts w:eastAsiaTheme="minorEastAsia"/>
          <w:noProof/>
          <w:szCs w:val="24"/>
          <w:lang w:eastAsia="ja-JP"/>
        </w:rPr>
        <w:t xml:space="preserve"> Por su parte, para aprobar el espacio curricular los estudiantes debían afrontar un </w:t>
      </w:r>
      <w:r w:rsidR="009B09D0" w:rsidRPr="00D11151">
        <w:rPr>
          <w:rFonts w:eastAsiaTheme="minorEastAsia"/>
          <w:noProof/>
          <w:szCs w:val="24"/>
          <w:lang w:eastAsia="ja-JP"/>
        </w:rPr>
        <w:t xml:space="preserve">examen final consistente </w:t>
      </w:r>
      <w:r w:rsidR="00443B00">
        <w:rPr>
          <w:rFonts w:eastAsiaTheme="minorEastAsia"/>
          <w:noProof/>
          <w:szCs w:val="24"/>
          <w:lang w:eastAsia="ja-JP"/>
        </w:rPr>
        <w:t>de</w:t>
      </w:r>
      <w:r w:rsidR="009B09D0" w:rsidRPr="00D11151">
        <w:rPr>
          <w:rFonts w:eastAsiaTheme="minorEastAsia"/>
          <w:noProof/>
          <w:szCs w:val="24"/>
          <w:lang w:eastAsia="ja-JP"/>
        </w:rPr>
        <w:t xml:space="preserve"> una parte teórica y otra práctica.</w:t>
      </w:r>
      <w:r w:rsidRPr="00D11151">
        <w:rPr>
          <w:rFonts w:eastAsiaTheme="minorEastAsia"/>
          <w:noProof/>
          <w:szCs w:val="24"/>
          <w:lang w:eastAsia="ja-JP"/>
        </w:rPr>
        <w:t xml:space="preserve"> </w:t>
      </w:r>
      <w:r w:rsidR="009B09D0" w:rsidRPr="00D11151">
        <w:rPr>
          <w:rFonts w:eastAsiaTheme="minorEastAsia"/>
          <w:noProof/>
          <w:szCs w:val="24"/>
          <w:lang w:eastAsia="ja-JP"/>
        </w:rPr>
        <w:t>En los años de “normal</w:t>
      </w:r>
      <w:r w:rsidR="00D11151" w:rsidRPr="00D11151">
        <w:rPr>
          <w:rFonts w:eastAsiaTheme="minorEastAsia"/>
          <w:noProof/>
          <w:szCs w:val="24"/>
          <w:lang w:eastAsia="ja-JP"/>
        </w:rPr>
        <w:t>idad</w:t>
      </w:r>
      <w:r w:rsidR="009B09D0" w:rsidRPr="00D11151">
        <w:rPr>
          <w:rFonts w:eastAsiaTheme="minorEastAsia"/>
          <w:noProof/>
          <w:szCs w:val="24"/>
          <w:lang w:eastAsia="ja-JP"/>
        </w:rPr>
        <w:t>”</w:t>
      </w:r>
      <w:r w:rsidR="009B09D0" w:rsidRPr="009B09D0">
        <w:rPr>
          <w:rFonts w:eastAsiaTheme="minorEastAsia"/>
          <w:noProof/>
          <w:szCs w:val="24"/>
          <w:lang w:eastAsia="ja-JP"/>
        </w:rPr>
        <w:t xml:space="preserve"> (2018</w:t>
      </w:r>
      <w:r w:rsidR="00D11151">
        <w:rPr>
          <w:rFonts w:eastAsiaTheme="minorEastAsia"/>
          <w:noProof/>
          <w:szCs w:val="24"/>
          <w:lang w:eastAsia="ja-JP"/>
        </w:rPr>
        <w:t xml:space="preserve"> y </w:t>
      </w:r>
      <w:r w:rsidR="009B09D0" w:rsidRPr="009B09D0">
        <w:rPr>
          <w:rFonts w:eastAsiaTheme="minorEastAsia"/>
          <w:noProof/>
          <w:szCs w:val="24"/>
          <w:lang w:eastAsia="ja-JP"/>
        </w:rPr>
        <w:t>2019)</w:t>
      </w:r>
      <w:r w:rsidR="009B09D0">
        <w:rPr>
          <w:rFonts w:eastAsiaTheme="minorEastAsia"/>
          <w:noProof/>
          <w:szCs w:val="24"/>
          <w:lang w:eastAsia="ja-JP"/>
        </w:rPr>
        <w:t xml:space="preserve">, </w:t>
      </w:r>
      <w:r w:rsidR="00D11151">
        <w:rPr>
          <w:rFonts w:eastAsiaTheme="minorEastAsia"/>
          <w:noProof/>
          <w:szCs w:val="24"/>
          <w:lang w:eastAsia="ja-JP"/>
        </w:rPr>
        <w:t xml:space="preserve">en los que la asignatura se dictó y evaluó de manera presencial, </w:t>
      </w:r>
      <w:r w:rsidR="009B09D0">
        <w:rPr>
          <w:rFonts w:eastAsiaTheme="minorEastAsia"/>
          <w:noProof/>
          <w:szCs w:val="24"/>
          <w:lang w:eastAsia="ja-JP"/>
        </w:rPr>
        <w:t xml:space="preserve">para </w:t>
      </w:r>
      <w:r w:rsidR="00D11151">
        <w:rPr>
          <w:rFonts w:eastAsiaTheme="minorEastAsia"/>
          <w:noProof/>
          <w:szCs w:val="24"/>
          <w:lang w:eastAsia="ja-JP"/>
        </w:rPr>
        <w:t>lograr la aprobación</w:t>
      </w:r>
      <w:r w:rsidR="009B09D0">
        <w:rPr>
          <w:rFonts w:eastAsiaTheme="minorEastAsia"/>
          <w:noProof/>
          <w:szCs w:val="24"/>
          <w:lang w:eastAsia="ja-JP"/>
        </w:rPr>
        <w:t xml:space="preserve"> </w:t>
      </w:r>
      <w:r w:rsidR="00D11151">
        <w:rPr>
          <w:rFonts w:eastAsiaTheme="minorEastAsia"/>
          <w:noProof/>
          <w:szCs w:val="24"/>
          <w:lang w:eastAsia="ja-JP"/>
        </w:rPr>
        <w:t>d</w:t>
      </w:r>
      <w:r w:rsidR="009B09D0">
        <w:rPr>
          <w:rFonts w:eastAsiaTheme="minorEastAsia"/>
          <w:noProof/>
          <w:szCs w:val="24"/>
          <w:lang w:eastAsia="ja-JP"/>
        </w:rPr>
        <w:t>el examen final</w:t>
      </w:r>
      <w:r w:rsidR="00443B00">
        <w:rPr>
          <w:rFonts w:eastAsiaTheme="minorEastAsia"/>
          <w:noProof/>
          <w:szCs w:val="24"/>
          <w:lang w:eastAsia="ja-JP"/>
        </w:rPr>
        <w:t xml:space="preserve"> los alumnos</w:t>
      </w:r>
      <w:r w:rsidR="009B09D0">
        <w:rPr>
          <w:rFonts w:eastAsiaTheme="minorEastAsia"/>
          <w:noProof/>
          <w:szCs w:val="24"/>
          <w:lang w:eastAsia="ja-JP"/>
        </w:rPr>
        <w:t xml:space="preserve"> debían demostrar conocimientos </w:t>
      </w:r>
      <w:r w:rsidR="006A2213">
        <w:rPr>
          <w:rFonts w:eastAsiaTheme="minorEastAsia"/>
          <w:noProof/>
          <w:szCs w:val="24"/>
          <w:lang w:eastAsia="ja-JP"/>
        </w:rPr>
        <w:t>del 60</w:t>
      </w:r>
      <w:r w:rsidR="00D11151">
        <w:rPr>
          <w:rFonts w:eastAsiaTheme="minorEastAsia"/>
          <w:noProof/>
          <w:szCs w:val="24"/>
          <w:lang w:eastAsia="ja-JP"/>
        </w:rPr>
        <w:t xml:space="preserve">%, como mínimo, tanto de los temas </w:t>
      </w:r>
      <w:r w:rsidR="009B09D0">
        <w:rPr>
          <w:rFonts w:eastAsiaTheme="minorEastAsia"/>
          <w:noProof/>
          <w:szCs w:val="24"/>
          <w:lang w:eastAsia="ja-JP"/>
        </w:rPr>
        <w:t xml:space="preserve">teóricos </w:t>
      </w:r>
      <w:r w:rsidR="00D11151">
        <w:rPr>
          <w:rFonts w:eastAsiaTheme="minorEastAsia"/>
          <w:noProof/>
          <w:szCs w:val="24"/>
          <w:lang w:eastAsia="ja-JP"/>
        </w:rPr>
        <w:t>como de los temas prácticos, siendo los mismos evaluados de manera escrita</w:t>
      </w:r>
      <w:r w:rsidR="00955D0E">
        <w:rPr>
          <w:rFonts w:eastAsiaTheme="minorEastAsia"/>
          <w:noProof/>
          <w:szCs w:val="24"/>
          <w:lang w:eastAsia="ja-JP"/>
        </w:rPr>
        <w:t>.</w:t>
      </w:r>
      <w:r w:rsidR="009B09D0">
        <w:rPr>
          <w:rFonts w:eastAsiaTheme="minorEastAsia"/>
          <w:noProof/>
          <w:szCs w:val="24"/>
          <w:lang w:eastAsia="ja-JP"/>
        </w:rPr>
        <w:t xml:space="preserve">  </w:t>
      </w:r>
      <w:r w:rsidR="00C76A0F">
        <w:rPr>
          <w:rFonts w:eastAsiaTheme="minorEastAsia"/>
          <w:noProof/>
          <w:szCs w:val="24"/>
          <w:lang w:eastAsia="ja-JP"/>
        </w:rPr>
        <w:t>En los años en los que la materia se desarrolló en forma virtual</w:t>
      </w:r>
      <w:r w:rsidR="00D11151">
        <w:rPr>
          <w:rFonts w:eastAsiaTheme="minorEastAsia"/>
          <w:noProof/>
          <w:szCs w:val="24"/>
          <w:lang w:eastAsia="ja-JP"/>
        </w:rPr>
        <w:t xml:space="preserve"> (2020 y 2021)</w:t>
      </w:r>
      <w:r w:rsidR="00C76A0F">
        <w:rPr>
          <w:rFonts w:eastAsiaTheme="minorEastAsia"/>
          <w:noProof/>
          <w:szCs w:val="24"/>
          <w:lang w:eastAsia="ja-JP"/>
        </w:rPr>
        <w:t>, los exámenes finales también</w:t>
      </w:r>
      <w:r w:rsidR="00D11151">
        <w:rPr>
          <w:rFonts w:eastAsiaTheme="minorEastAsia"/>
          <w:noProof/>
          <w:szCs w:val="24"/>
          <w:lang w:eastAsia="ja-JP"/>
        </w:rPr>
        <w:t xml:space="preserve"> fueron teórico-prácticos y se requiri</w:t>
      </w:r>
      <w:r w:rsidR="006A2213">
        <w:rPr>
          <w:rFonts w:eastAsiaTheme="minorEastAsia"/>
          <w:noProof/>
          <w:szCs w:val="24"/>
          <w:lang w:eastAsia="ja-JP"/>
        </w:rPr>
        <w:t>ó el 60</w:t>
      </w:r>
      <w:r w:rsidR="00D11151">
        <w:rPr>
          <w:rFonts w:eastAsiaTheme="minorEastAsia"/>
          <w:noProof/>
          <w:szCs w:val="24"/>
          <w:lang w:eastAsia="ja-JP"/>
        </w:rPr>
        <w:t>% de los conocimientos evaluados para su aprobación</w:t>
      </w:r>
      <w:r w:rsidR="00C76A0F">
        <w:rPr>
          <w:rFonts w:eastAsiaTheme="minorEastAsia"/>
          <w:noProof/>
          <w:szCs w:val="24"/>
          <w:lang w:eastAsia="ja-JP"/>
        </w:rPr>
        <w:t xml:space="preserve">. </w:t>
      </w:r>
      <w:r w:rsidR="00D11151">
        <w:rPr>
          <w:rFonts w:eastAsiaTheme="minorEastAsia"/>
          <w:noProof/>
          <w:szCs w:val="24"/>
          <w:lang w:eastAsia="ja-JP"/>
        </w:rPr>
        <w:t>En este caso, los prácticos fueron evaluados de manera escrita (usando habitualmente la herramienta “Cuestionario” de la plataforma Moodle sobre la que se a sienta en campus virtual de la UNVM) )</w:t>
      </w:r>
      <w:r w:rsidR="00443B00">
        <w:rPr>
          <w:rFonts w:eastAsiaTheme="minorEastAsia"/>
          <w:noProof/>
          <w:szCs w:val="24"/>
          <w:lang w:eastAsia="ja-JP"/>
        </w:rPr>
        <w:t>, mientras que los temas teóricos fueron evaluados, en la mayoría de los casos, de manera oral (a través de la platafroma Google Meet)</w:t>
      </w:r>
      <w:r w:rsidR="00C76A0F">
        <w:rPr>
          <w:rFonts w:eastAsiaTheme="minorEastAsia"/>
          <w:noProof/>
          <w:szCs w:val="24"/>
          <w:lang w:eastAsia="ja-JP"/>
        </w:rPr>
        <w:t>.</w:t>
      </w:r>
      <w:r w:rsidR="009B09D0">
        <w:rPr>
          <w:rFonts w:eastAsiaTheme="minorEastAsia"/>
          <w:noProof/>
          <w:szCs w:val="24"/>
          <w:lang w:eastAsia="ja-JP"/>
        </w:rPr>
        <w:t xml:space="preserve"> </w:t>
      </w:r>
    </w:p>
    <w:p w14:paraId="55A6891F" w14:textId="4500A84D" w:rsidR="00176DEE" w:rsidRDefault="00176DEE" w:rsidP="00FB303B">
      <w:pPr>
        <w:spacing w:before="30" w:after="30" w:line="360" w:lineRule="auto"/>
        <w:jc w:val="both"/>
        <w:rPr>
          <w:rFonts w:eastAsiaTheme="minorEastAsia"/>
          <w:noProof/>
          <w:szCs w:val="24"/>
          <w:lang w:eastAsia="ja-JP"/>
        </w:rPr>
      </w:pPr>
    </w:p>
    <w:p w14:paraId="2F586932" w14:textId="6BE6C617" w:rsidR="00D26CCB" w:rsidRPr="00F50ABD" w:rsidRDefault="00F50ABD" w:rsidP="00F50ABD">
      <w:pPr>
        <w:spacing w:line="360" w:lineRule="auto"/>
        <w:jc w:val="both"/>
        <w:rPr>
          <w:b/>
          <w:szCs w:val="24"/>
        </w:rPr>
      </w:pPr>
      <w:r>
        <w:rPr>
          <w:b/>
          <w:szCs w:val="24"/>
        </w:rPr>
        <w:t xml:space="preserve">4. </w:t>
      </w:r>
      <w:r w:rsidR="00D26CCB" w:rsidRPr="00F50ABD">
        <w:rPr>
          <w:b/>
          <w:szCs w:val="24"/>
        </w:rPr>
        <w:t>Resultados</w:t>
      </w:r>
      <w:r>
        <w:rPr>
          <w:b/>
          <w:szCs w:val="24"/>
        </w:rPr>
        <w:t xml:space="preserve"> </w:t>
      </w:r>
    </w:p>
    <w:p w14:paraId="04CAB05E" w14:textId="2800424F" w:rsidR="002B0C23" w:rsidRDefault="002B0C23" w:rsidP="008B517E">
      <w:pPr>
        <w:spacing w:line="360" w:lineRule="auto"/>
        <w:jc w:val="both"/>
        <w:rPr>
          <w:rFonts w:eastAsiaTheme="minorEastAsia"/>
          <w:noProof/>
          <w:szCs w:val="24"/>
          <w:lang w:eastAsia="ja-JP"/>
        </w:rPr>
      </w:pPr>
      <w:r>
        <w:rPr>
          <w:rFonts w:eastAsiaTheme="minorEastAsia"/>
          <w:noProof/>
          <w:szCs w:val="24"/>
          <w:lang w:eastAsia="ja-JP"/>
        </w:rPr>
        <w:t>En el primer año de análisis</w:t>
      </w:r>
      <w:r w:rsidR="009173BF">
        <w:rPr>
          <w:rFonts w:eastAsiaTheme="minorEastAsia"/>
          <w:noProof/>
          <w:szCs w:val="24"/>
          <w:lang w:eastAsia="ja-JP"/>
        </w:rPr>
        <w:t xml:space="preserve">, </w:t>
      </w:r>
      <w:r>
        <w:rPr>
          <w:rFonts w:eastAsiaTheme="minorEastAsia"/>
          <w:noProof/>
          <w:szCs w:val="24"/>
          <w:lang w:eastAsia="ja-JP"/>
        </w:rPr>
        <w:t>2018</w:t>
      </w:r>
      <w:r w:rsidR="009173BF">
        <w:rPr>
          <w:rFonts w:eastAsiaTheme="minorEastAsia"/>
          <w:noProof/>
          <w:szCs w:val="24"/>
          <w:lang w:eastAsia="ja-JP"/>
        </w:rPr>
        <w:t>,</w:t>
      </w:r>
      <w:r w:rsidR="009B6A19">
        <w:rPr>
          <w:rFonts w:eastAsiaTheme="minorEastAsia"/>
          <w:noProof/>
          <w:szCs w:val="24"/>
          <w:lang w:eastAsia="ja-JP"/>
        </w:rPr>
        <w:t xml:space="preserve"> el dictado de la </w:t>
      </w:r>
      <w:r w:rsidR="00005B7B">
        <w:rPr>
          <w:rFonts w:eastAsiaTheme="minorEastAsia"/>
          <w:noProof/>
          <w:szCs w:val="24"/>
          <w:lang w:eastAsia="ja-JP"/>
        </w:rPr>
        <w:t>asignatura se realizó en modalidad completamente presencial. L</w:t>
      </w:r>
      <w:r w:rsidR="00A1780D">
        <w:rPr>
          <w:rFonts w:eastAsiaTheme="minorEastAsia"/>
          <w:noProof/>
          <w:szCs w:val="24"/>
          <w:lang w:eastAsia="ja-JP"/>
        </w:rPr>
        <w:t xml:space="preserve">a cantidad de alumnos que cursaron MFyA fueron 112 estudiantes, de los cuales el 63% logró alcanzar la regularidad (el </w:t>
      </w:r>
      <w:r w:rsidR="00737933">
        <w:rPr>
          <w:rFonts w:eastAsiaTheme="minorEastAsia"/>
          <w:noProof/>
          <w:szCs w:val="24"/>
          <w:lang w:eastAsia="ja-JP"/>
        </w:rPr>
        <w:t>71</w:t>
      </w:r>
      <w:r w:rsidR="00A1780D">
        <w:rPr>
          <w:rFonts w:eastAsiaTheme="minorEastAsia"/>
          <w:noProof/>
          <w:szCs w:val="24"/>
          <w:lang w:eastAsia="ja-JP"/>
        </w:rPr>
        <w:t xml:space="preserve">% aprobando los dos parciales y el </w:t>
      </w:r>
      <w:r w:rsidR="00737933">
        <w:rPr>
          <w:rFonts w:eastAsiaTheme="minorEastAsia"/>
          <w:noProof/>
          <w:szCs w:val="24"/>
          <w:lang w:eastAsia="ja-JP"/>
        </w:rPr>
        <w:t>29</w:t>
      </w:r>
      <w:r w:rsidR="00A1780D">
        <w:rPr>
          <w:rFonts w:eastAsiaTheme="minorEastAsia"/>
          <w:noProof/>
          <w:szCs w:val="24"/>
          <w:lang w:eastAsia="ja-JP"/>
        </w:rPr>
        <w:t xml:space="preserve">% restante accediendo a la instancia de un recuperatorio). La nota media obtenida por los alumnos regulares </w:t>
      </w:r>
      <w:r w:rsidR="009173BF">
        <w:rPr>
          <w:rFonts w:eastAsiaTheme="minorEastAsia"/>
          <w:noProof/>
          <w:szCs w:val="24"/>
          <w:lang w:eastAsia="ja-JP"/>
        </w:rPr>
        <w:t xml:space="preserve">entre ambos parciales </w:t>
      </w:r>
      <w:r w:rsidR="00A1780D">
        <w:rPr>
          <w:rFonts w:eastAsiaTheme="minorEastAsia"/>
          <w:noProof/>
          <w:szCs w:val="24"/>
          <w:lang w:eastAsia="ja-JP"/>
        </w:rPr>
        <w:t>fue 6,70. El</w:t>
      </w:r>
      <w:r w:rsidR="00005B7B">
        <w:rPr>
          <w:rFonts w:eastAsiaTheme="minorEastAsia"/>
          <w:noProof/>
          <w:szCs w:val="24"/>
          <w:lang w:eastAsia="ja-JP"/>
        </w:rPr>
        <w:t xml:space="preserve"> </w:t>
      </w:r>
      <w:r w:rsidR="00A1780D">
        <w:rPr>
          <w:rFonts w:eastAsiaTheme="minorEastAsia"/>
          <w:noProof/>
          <w:szCs w:val="24"/>
          <w:lang w:eastAsia="ja-JP"/>
        </w:rPr>
        <w:t xml:space="preserve">37% de los alumnos cursantes desaprobó las evaluaciones parciales y el recuperatorio, </w:t>
      </w:r>
      <w:r w:rsidR="000C0BEB">
        <w:rPr>
          <w:rFonts w:eastAsiaTheme="minorEastAsia"/>
          <w:noProof/>
          <w:szCs w:val="24"/>
          <w:lang w:eastAsia="ja-JP"/>
        </w:rPr>
        <w:t>quedando</w:t>
      </w:r>
      <w:r w:rsidR="00A1780D">
        <w:rPr>
          <w:rFonts w:eastAsiaTheme="minorEastAsia"/>
          <w:noProof/>
          <w:szCs w:val="24"/>
          <w:lang w:eastAsia="ja-JP"/>
        </w:rPr>
        <w:t xml:space="preserve"> en condición de libres.</w:t>
      </w:r>
    </w:p>
    <w:p w14:paraId="08ABD6C6" w14:textId="0B474E5B" w:rsidR="00FB303B" w:rsidRDefault="000F5F59" w:rsidP="008B517E">
      <w:pPr>
        <w:spacing w:line="360" w:lineRule="auto"/>
        <w:jc w:val="both"/>
        <w:rPr>
          <w:rFonts w:eastAsiaTheme="minorEastAsia"/>
          <w:noProof/>
          <w:szCs w:val="24"/>
          <w:lang w:eastAsia="ja-JP"/>
        </w:rPr>
      </w:pPr>
      <w:r w:rsidRPr="00FB303B">
        <w:rPr>
          <w:rFonts w:eastAsiaTheme="minorEastAsia"/>
          <w:noProof/>
          <w:szCs w:val="24"/>
          <w:lang w:eastAsia="ja-JP"/>
        </w:rPr>
        <w:t xml:space="preserve">En lo que respecta al resultado obtenido por los estudiantes en las mesas de exámenes finales, es de destacar que </w:t>
      </w:r>
      <w:r w:rsidR="00FB303B" w:rsidRPr="00FB303B">
        <w:rPr>
          <w:rFonts w:eastAsiaTheme="minorEastAsia"/>
          <w:noProof/>
          <w:szCs w:val="24"/>
          <w:lang w:eastAsia="ja-JP"/>
        </w:rPr>
        <w:t xml:space="preserve">del total de alumnos que alcanzaron la condición de regulares en dicho período, el </w:t>
      </w:r>
      <w:r w:rsidR="009173BF">
        <w:rPr>
          <w:rFonts w:eastAsiaTheme="minorEastAsia"/>
          <w:noProof/>
          <w:szCs w:val="24"/>
          <w:lang w:eastAsia="ja-JP"/>
        </w:rPr>
        <w:t>6</w:t>
      </w:r>
      <w:r w:rsidR="00FB303B" w:rsidRPr="00FB303B">
        <w:rPr>
          <w:rFonts w:eastAsiaTheme="minorEastAsia"/>
          <w:noProof/>
          <w:szCs w:val="24"/>
          <w:lang w:eastAsia="ja-JP"/>
        </w:rPr>
        <w:t xml:space="preserve">0% se </w:t>
      </w:r>
      <w:r w:rsidR="00005B7B">
        <w:rPr>
          <w:rFonts w:eastAsiaTheme="minorEastAsia"/>
          <w:noProof/>
          <w:szCs w:val="24"/>
          <w:lang w:eastAsia="ja-JP"/>
        </w:rPr>
        <w:t>p</w:t>
      </w:r>
      <w:r w:rsidR="00FB303B" w:rsidRPr="00FB303B">
        <w:rPr>
          <w:rFonts w:eastAsiaTheme="minorEastAsia"/>
          <w:noProof/>
          <w:szCs w:val="24"/>
          <w:lang w:eastAsia="ja-JP"/>
        </w:rPr>
        <w:t>resent</w:t>
      </w:r>
      <w:r w:rsidR="00005B7B">
        <w:rPr>
          <w:rFonts w:eastAsiaTheme="minorEastAsia"/>
          <w:noProof/>
          <w:szCs w:val="24"/>
          <w:lang w:eastAsia="ja-JP"/>
        </w:rPr>
        <w:t>ó</w:t>
      </w:r>
      <w:r w:rsidR="00FB303B" w:rsidRPr="00FB303B">
        <w:rPr>
          <w:rFonts w:eastAsiaTheme="minorEastAsia"/>
          <w:noProof/>
          <w:szCs w:val="24"/>
          <w:lang w:eastAsia="ja-JP"/>
        </w:rPr>
        <w:t xml:space="preserve"> a rendir el examen final de la asignatura</w:t>
      </w:r>
      <w:r w:rsidR="009173BF">
        <w:rPr>
          <w:rFonts w:eastAsiaTheme="minorEastAsia"/>
          <w:noProof/>
          <w:szCs w:val="24"/>
          <w:lang w:eastAsia="ja-JP"/>
        </w:rPr>
        <w:t xml:space="preserve"> en el primer turno de examen</w:t>
      </w:r>
      <w:r w:rsidR="003544E5">
        <w:rPr>
          <w:rFonts w:eastAsiaTheme="minorEastAsia"/>
          <w:noProof/>
          <w:szCs w:val="24"/>
          <w:lang w:eastAsia="ja-JP"/>
        </w:rPr>
        <w:t xml:space="preserve"> </w:t>
      </w:r>
      <w:r w:rsidR="003544E5" w:rsidRPr="000D0FA5">
        <w:rPr>
          <w:rFonts w:eastAsiaTheme="minorEastAsia"/>
          <w:noProof/>
          <w:szCs w:val="24"/>
          <w:lang w:eastAsia="ja-JP"/>
        </w:rPr>
        <w:t>(es decir, en el turno de julio-agosto, que es aquel que se sustancia inmeditamente después de la finalización del custrimestre en que se dicta la asignatura</w:t>
      </w:r>
      <w:r w:rsidR="003544E5">
        <w:rPr>
          <w:rFonts w:eastAsiaTheme="minorEastAsia"/>
          <w:noProof/>
          <w:szCs w:val="24"/>
          <w:lang w:eastAsia="ja-JP"/>
        </w:rPr>
        <w:t>)</w:t>
      </w:r>
      <w:r w:rsidR="009173BF">
        <w:rPr>
          <w:rFonts w:eastAsiaTheme="minorEastAsia"/>
          <w:noProof/>
          <w:szCs w:val="24"/>
          <w:lang w:eastAsia="ja-JP"/>
        </w:rPr>
        <w:t>, siendo 9 de cada 10 alumnos los que lograron aprobarla</w:t>
      </w:r>
      <w:r w:rsidR="00FB303B" w:rsidRPr="00FB303B">
        <w:rPr>
          <w:rFonts w:eastAsiaTheme="minorEastAsia"/>
          <w:noProof/>
          <w:szCs w:val="24"/>
          <w:lang w:eastAsia="ja-JP"/>
        </w:rPr>
        <w:t>. Por otra parte, de este grupo de estudiantes,</w:t>
      </w:r>
      <w:r w:rsidR="00005B7B">
        <w:rPr>
          <w:rFonts w:eastAsiaTheme="minorEastAsia"/>
          <w:noProof/>
          <w:szCs w:val="24"/>
          <w:lang w:eastAsia="ja-JP"/>
        </w:rPr>
        <w:t xml:space="preserve"> </w:t>
      </w:r>
      <w:r w:rsidR="00FB303B" w:rsidRPr="00FB303B">
        <w:rPr>
          <w:rFonts w:eastAsiaTheme="minorEastAsia"/>
          <w:noProof/>
          <w:szCs w:val="24"/>
          <w:lang w:eastAsia="ja-JP"/>
        </w:rPr>
        <w:t>son muy pocos los que intenta</w:t>
      </w:r>
      <w:r w:rsidR="00005B7B">
        <w:rPr>
          <w:rFonts w:eastAsiaTheme="minorEastAsia"/>
          <w:noProof/>
          <w:szCs w:val="24"/>
          <w:lang w:eastAsia="ja-JP"/>
        </w:rPr>
        <w:t>ron</w:t>
      </w:r>
      <w:r w:rsidR="00FB303B" w:rsidRPr="00FB303B">
        <w:rPr>
          <w:rFonts w:eastAsiaTheme="minorEastAsia"/>
          <w:noProof/>
          <w:szCs w:val="24"/>
          <w:lang w:eastAsia="ja-JP"/>
        </w:rPr>
        <w:t xml:space="preserve"> rendir la asignatura en condición de libres.</w:t>
      </w:r>
      <w:r w:rsidR="00005B7B">
        <w:rPr>
          <w:rFonts w:eastAsiaTheme="minorEastAsia"/>
          <w:noProof/>
          <w:szCs w:val="24"/>
          <w:lang w:eastAsia="ja-JP"/>
        </w:rPr>
        <w:t xml:space="preserve"> Esta alta tasa de presentación en el primer turno </w:t>
      </w:r>
      <w:r w:rsidR="00C45D27" w:rsidRPr="000D0FA5">
        <w:rPr>
          <w:rFonts w:eastAsiaTheme="minorEastAsia"/>
          <w:noProof/>
          <w:szCs w:val="24"/>
          <w:lang w:eastAsia="ja-JP"/>
        </w:rPr>
        <w:t>puede estar vinculada al hecho de que</w:t>
      </w:r>
      <w:r w:rsidR="00475F78" w:rsidRPr="000D0FA5">
        <w:rPr>
          <w:rFonts w:eastAsiaTheme="minorEastAsia"/>
          <w:noProof/>
          <w:szCs w:val="24"/>
          <w:lang w:eastAsia="ja-JP"/>
        </w:rPr>
        <w:t>,</w:t>
      </w:r>
      <w:r w:rsidR="00005B7B" w:rsidRPr="000D0FA5">
        <w:rPr>
          <w:rFonts w:eastAsiaTheme="minorEastAsia"/>
          <w:noProof/>
          <w:szCs w:val="24"/>
          <w:lang w:eastAsia="ja-JP"/>
        </w:rPr>
        <w:t xml:space="preserve"> en ese año</w:t>
      </w:r>
      <w:r w:rsidR="00475F78" w:rsidRPr="000D0FA5">
        <w:rPr>
          <w:rFonts w:eastAsiaTheme="minorEastAsia"/>
          <w:noProof/>
          <w:szCs w:val="24"/>
          <w:lang w:eastAsia="ja-JP"/>
        </w:rPr>
        <w:t>,</w:t>
      </w:r>
      <w:r w:rsidR="00005B7B" w:rsidRPr="000D0FA5">
        <w:rPr>
          <w:rFonts w:eastAsiaTheme="minorEastAsia"/>
          <w:noProof/>
          <w:szCs w:val="24"/>
          <w:lang w:eastAsia="ja-JP"/>
        </w:rPr>
        <w:t xml:space="preserve"> se</w:t>
      </w:r>
      <w:r w:rsidR="0096081F" w:rsidRPr="000D0FA5">
        <w:rPr>
          <w:rFonts w:eastAsiaTheme="minorEastAsia"/>
          <w:noProof/>
          <w:szCs w:val="24"/>
          <w:lang w:eastAsia="ja-JP"/>
        </w:rPr>
        <w:t xml:space="preserve"> </w:t>
      </w:r>
      <w:r w:rsidR="00C45D27" w:rsidRPr="000D0FA5">
        <w:rPr>
          <w:rFonts w:eastAsiaTheme="minorEastAsia"/>
          <w:noProof/>
          <w:szCs w:val="24"/>
          <w:lang w:eastAsia="ja-JP"/>
        </w:rPr>
        <w:t xml:space="preserve">ofreció </w:t>
      </w:r>
      <w:r w:rsidR="0096081F" w:rsidRPr="000D0FA5">
        <w:rPr>
          <w:rFonts w:eastAsiaTheme="minorEastAsia"/>
          <w:noProof/>
          <w:szCs w:val="24"/>
          <w:lang w:eastAsia="ja-JP"/>
        </w:rPr>
        <w:t xml:space="preserve">la </w:t>
      </w:r>
      <w:r w:rsidR="00C45D27" w:rsidRPr="000D0FA5">
        <w:rPr>
          <w:rFonts w:eastAsiaTheme="minorEastAsia"/>
          <w:noProof/>
          <w:szCs w:val="24"/>
          <w:lang w:eastAsia="ja-JP"/>
        </w:rPr>
        <w:t>posibilidad de obtener una “regularidad especial”</w:t>
      </w:r>
      <w:r w:rsidR="00C45D27">
        <w:rPr>
          <w:rFonts w:eastAsiaTheme="minorEastAsia"/>
          <w:noProof/>
          <w:szCs w:val="24"/>
          <w:lang w:eastAsia="ja-JP"/>
        </w:rPr>
        <w:t xml:space="preserve"> </w:t>
      </w:r>
      <w:r w:rsidR="0096081F">
        <w:rPr>
          <w:rFonts w:eastAsiaTheme="minorEastAsia"/>
          <w:noProof/>
          <w:szCs w:val="24"/>
          <w:lang w:eastAsia="ja-JP"/>
        </w:rPr>
        <w:t xml:space="preserve">a aquellos alumnos que obtuvieran una calificación igual o superior a 7 en los dos parciales; </w:t>
      </w:r>
      <w:r w:rsidR="00C45D27">
        <w:rPr>
          <w:rFonts w:eastAsiaTheme="minorEastAsia"/>
          <w:noProof/>
          <w:szCs w:val="24"/>
          <w:lang w:eastAsia="ja-JP"/>
        </w:rPr>
        <w:t>situación que les otorgaba</w:t>
      </w:r>
      <w:r w:rsidR="0096081F">
        <w:rPr>
          <w:rFonts w:eastAsiaTheme="minorEastAsia"/>
          <w:noProof/>
          <w:szCs w:val="24"/>
          <w:lang w:eastAsia="ja-JP"/>
        </w:rPr>
        <w:t xml:space="preserve"> la posibilidad de rendir la materia con una grilla de temas</w:t>
      </w:r>
      <w:r>
        <w:rPr>
          <w:rFonts w:eastAsiaTheme="minorEastAsia"/>
          <w:noProof/>
          <w:szCs w:val="24"/>
          <w:lang w:eastAsia="ja-JP"/>
        </w:rPr>
        <w:t xml:space="preserve"> teóricos</w:t>
      </w:r>
      <w:r w:rsidR="0096081F">
        <w:rPr>
          <w:rFonts w:eastAsiaTheme="minorEastAsia"/>
          <w:noProof/>
          <w:szCs w:val="24"/>
          <w:lang w:eastAsia="ja-JP"/>
        </w:rPr>
        <w:t xml:space="preserve"> previamente establecidos. La única exigencia que se les </w:t>
      </w:r>
      <w:r w:rsidR="0096081F">
        <w:rPr>
          <w:rFonts w:eastAsiaTheme="minorEastAsia"/>
          <w:noProof/>
          <w:szCs w:val="24"/>
          <w:lang w:eastAsia="ja-JP"/>
        </w:rPr>
        <w:lastRenderedPageBreak/>
        <w:t>requería es que se debían presentar</w:t>
      </w:r>
      <w:r w:rsidR="00C45D27">
        <w:rPr>
          <w:rFonts w:eastAsiaTheme="minorEastAsia"/>
          <w:noProof/>
          <w:szCs w:val="24"/>
          <w:lang w:eastAsia="ja-JP"/>
        </w:rPr>
        <w:t>se a rendir</w:t>
      </w:r>
      <w:r w:rsidR="0096081F">
        <w:rPr>
          <w:rFonts w:eastAsiaTheme="minorEastAsia"/>
          <w:noProof/>
          <w:szCs w:val="24"/>
          <w:lang w:eastAsia="ja-JP"/>
        </w:rPr>
        <w:t xml:space="preserve"> en el primer llamado, de allí el </w:t>
      </w:r>
      <w:r>
        <w:rPr>
          <w:rFonts w:eastAsiaTheme="minorEastAsia"/>
          <w:noProof/>
          <w:szCs w:val="24"/>
          <w:lang w:eastAsia="ja-JP"/>
        </w:rPr>
        <w:t xml:space="preserve">considerable </w:t>
      </w:r>
      <w:r w:rsidR="0096081F">
        <w:rPr>
          <w:rFonts w:eastAsiaTheme="minorEastAsia"/>
          <w:noProof/>
          <w:szCs w:val="24"/>
          <w:lang w:eastAsia="ja-JP"/>
        </w:rPr>
        <w:t xml:space="preserve">porcentaje de alumnos que </w:t>
      </w:r>
      <w:r w:rsidR="00BB397B">
        <w:rPr>
          <w:rFonts w:eastAsiaTheme="minorEastAsia"/>
          <w:noProof/>
          <w:szCs w:val="24"/>
          <w:lang w:eastAsia="ja-JP"/>
        </w:rPr>
        <w:t xml:space="preserve">optaron por el primer </w:t>
      </w:r>
      <w:r w:rsidR="00475F78">
        <w:rPr>
          <w:rFonts w:eastAsiaTheme="minorEastAsia"/>
          <w:noProof/>
          <w:szCs w:val="24"/>
          <w:lang w:eastAsia="ja-JP"/>
        </w:rPr>
        <w:t>turno</w:t>
      </w:r>
      <w:r>
        <w:rPr>
          <w:rFonts w:eastAsiaTheme="minorEastAsia"/>
          <w:noProof/>
          <w:szCs w:val="24"/>
          <w:lang w:eastAsia="ja-JP"/>
        </w:rPr>
        <w:t xml:space="preserve"> y también los resultados obtenidos (elevado grado de aprobación)</w:t>
      </w:r>
      <w:r w:rsidR="00C45D27">
        <w:rPr>
          <w:rFonts w:eastAsiaTheme="minorEastAsia"/>
          <w:noProof/>
          <w:szCs w:val="24"/>
          <w:lang w:eastAsia="ja-JP"/>
        </w:rPr>
        <w:t>,</w:t>
      </w:r>
      <w:r>
        <w:rPr>
          <w:rFonts w:eastAsiaTheme="minorEastAsia"/>
          <w:noProof/>
          <w:szCs w:val="24"/>
          <w:lang w:eastAsia="ja-JP"/>
        </w:rPr>
        <w:t xml:space="preserve"> puesto que se trataba de los mejores alumnos de la clase</w:t>
      </w:r>
      <w:r w:rsidR="0096081F">
        <w:rPr>
          <w:rFonts w:eastAsiaTheme="minorEastAsia"/>
          <w:noProof/>
          <w:szCs w:val="24"/>
          <w:lang w:eastAsia="ja-JP"/>
        </w:rPr>
        <w:t>.</w:t>
      </w:r>
    </w:p>
    <w:p w14:paraId="2F47B62A" w14:textId="4C9C74DF" w:rsidR="0096081F" w:rsidRDefault="0096081F" w:rsidP="008B517E">
      <w:pPr>
        <w:spacing w:line="360" w:lineRule="auto"/>
        <w:jc w:val="both"/>
        <w:rPr>
          <w:rFonts w:eastAsiaTheme="minorEastAsia"/>
          <w:noProof/>
          <w:szCs w:val="24"/>
          <w:lang w:eastAsia="ja-JP"/>
        </w:rPr>
      </w:pPr>
      <w:r>
        <w:rPr>
          <w:rFonts w:eastAsiaTheme="minorEastAsia"/>
          <w:noProof/>
          <w:szCs w:val="24"/>
          <w:lang w:eastAsia="ja-JP"/>
        </w:rPr>
        <w:t>Siguiendo con el examen final, si extendemos el período de presentación a</w:t>
      </w:r>
      <w:r w:rsidR="00BB397B">
        <w:rPr>
          <w:rFonts w:eastAsiaTheme="minorEastAsia"/>
          <w:noProof/>
          <w:szCs w:val="24"/>
          <w:lang w:eastAsia="ja-JP"/>
        </w:rPr>
        <w:t xml:space="preserve"> las mesas </w:t>
      </w:r>
      <w:r w:rsidR="00C45D27">
        <w:rPr>
          <w:rFonts w:eastAsiaTheme="minorEastAsia"/>
          <w:noProof/>
          <w:szCs w:val="24"/>
          <w:lang w:eastAsia="ja-JP"/>
        </w:rPr>
        <w:t>de</w:t>
      </w:r>
      <w:r>
        <w:rPr>
          <w:rFonts w:eastAsiaTheme="minorEastAsia"/>
          <w:noProof/>
          <w:szCs w:val="24"/>
          <w:lang w:eastAsia="ja-JP"/>
        </w:rPr>
        <w:t xml:space="preserve"> los 12 meses posteriores a la obtención de la regularidad,</w:t>
      </w:r>
      <w:r w:rsidR="00BB397B">
        <w:rPr>
          <w:rFonts w:eastAsiaTheme="minorEastAsia"/>
          <w:noProof/>
          <w:szCs w:val="24"/>
          <w:lang w:eastAsia="ja-JP"/>
        </w:rPr>
        <w:t xml:space="preserve"> se observa que</w:t>
      </w:r>
      <w:r>
        <w:rPr>
          <w:rFonts w:eastAsiaTheme="minorEastAsia"/>
          <w:noProof/>
          <w:szCs w:val="24"/>
          <w:lang w:eastAsia="ja-JP"/>
        </w:rPr>
        <w:t xml:space="preserve"> el 74% de los alumnos regulares del año 2018 </w:t>
      </w:r>
      <w:r w:rsidR="00BB397B">
        <w:rPr>
          <w:rFonts w:eastAsiaTheme="minorEastAsia"/>
          <w:noProof/>
          <w:szCs w:val="24"/>
          <w:lang w:eastAsia="ja-JP"/>
        </w:rPr>
        <w:t>rindieron</w:t>
      </w:r>
      <w:r>
        <w:rPr>
          <w:rFonts w:eastAsiaTheme="minorEastAsia"/>
          <w:noProof/>
          <w:szCs w:val="24"/>
          <w:lang w:eastAsia="ja-JP"/>
        </w:rPr>
        <w:t xml:space="preserve">, siendo 8 de cada 10 </w:t>
      </w:r>
      <w:r w:rsidR="00BB397B">
        <w:rPr>
          <w:rFonts w:eastAsiaTheme="minorEastAsia"/>
          <w:noProof/>
          <w:szCs w:val="24"/>
          <w:lang w:eastAsia="ja-JP"/>
        </w:rPr>
        <w:t>quienes</w:t>
      </w:r>
      <w:r>
        <w:rPr>
          <w:rFonts w:eastAsiaTheme="minorEastAsia"/>
          <w:noProof/>
          <w:szCs w:val="24"/>
          <w:lang w:eastAsia="ja-JP"/>
        </w:rPr>
        <w:t xml:space="preserve"> lo apr</w:t>
      </w:r>
      <w:r w:rsidR="00583CD0">
        <w:rPr>
          <w:rFonts w:eastAsiaTheme="minorEastAsia"/>
          <w:noProof/>
          <w:szCs w:val="24"/>
          <w:lang w:eastAsia="ja-JP"/>
        </w:rPr>
        <w:t xml:space="preserve">obaron. </w:t>
      </w:r>
      <w:r w:rsidR="00583CD0" w:rsidRPr="000D0FA5">
        <w:rPr>
          <w:rFonts w:eastAsiaTheme="minorEastAsia"/>
          <w:noProof/>
          <w:szCs w:val="24"/>
          <w:lang w:eastAsia="ja-JP"/>
        </w:rPr>
        <w:t xml:space="preserve">Nuevamente los números </w:t>
      </w:r>
      <w:r w:rsidR="00C45D27" w:rsidRPr="000D0FA5">
        <w:rPr>
          <w:rFonts w:eastAsiaTheme="minorEastAsia"/>
          <w:noProof/>
          <w:szCs w:val="24"/>
          <w:lang w:eastAsia="ja-JP"/>
        </w:rPr>
        <w:t xml:space="preserve">son satisfactorios, aunque </w:t>
      </w:r>
      <w:r w:rsidR="00FA491D" w:rsidRPr="000D0FA5">
        <w:rPr>
          <w:rFonts w:eastAsiaTheme="minorEastAsia"/>
          <w:noProof/>
          <w:szCs w:val="24"/>
          <w:lang w:eastAsia="ja-JP"/>
        </w:rPr>
        <w:t>se advierte que la postergación de la instancia evaluativa parece tener una incidencia negativa en la superación del examen.</w:t>
      </w:r>
    </w:p>
    <w:p w14:paraId="08ABE5F5" w14:textId="565B5CE6" w:rsidR="00583CD0" w:rsidRDefault="00583CD0" w:rsidP="008B517E">
      <w:pPr>
        <w:spacing w:line="360" w:lineRule="auto"/>
        <w:jc w:val="both"/>
        <w:rPr>
          <w:rFonts w:eastAsiaTheme="minorEastAsia"/>
          <w:noProof/>
          <w:szCs w:val="24"/>
          <w:lang w:eastAsia="ja-JP"/>
        </w:rPr>
      </w:pPr>
      <w:r>
        <w:rPr>
          <w:rFonts w:eastAsiaTheme="minorEastAsia"/>
          <w:noProof/>
          <w:szCs w:val="24"/>
          <w:lang w:eastAsia="ja-JP"/>
        </w:rPr>
        <w:t xml:space="preserve">El estudio del segundo año de presencialidad normal </w:t>
      </w:r>
      <w:r w:rsidR="00610D0A">
        <w:rPr>
          <w:rFonts w:eastAsiaTheme="minorEastAsia"/>
          <w:noProof/>
          <w:szCs w:val="24"/>
          <w:lang w:eastAsia="ja-JP"/>
        </w:rPr>
        <w:t>(</w:t>
      </w:r>
      <w:r>
        <w:rPr>
          <w:rFonts w:eastAsiaTheme="minorEastAsia"/>
          <w:noProof/>
          <w:szCs w:val="24"/>
          <w:lang w:eastAsia="ja-JP"/>
        </w:rPr>
        <w:t>2019</w:t>
      </w:r>
      <w:r w:rsidR="00610D0A">
        <w:rPr>
          <w:rFonts w:eastAsiaTheme="minorEastAsia"/>
          <w:noProof/>
          <w:szCs w:val="24"/>
          <w:lang w:eastAsia="ja-JP"/>
        </w:rPr>
        <w:t>)</w:t>
      </w:r>
      <w:r>
        <w:rPr>
          <w:rFonts w:eastAsiaTheme="minorEastAsia"/>
          <w:noProof/>
          <w:szCs w:val="24"/>
          <w:lang w:eastAsia="ja-JP"/>
        </w:rPr>
        <w:t xml:space="preserve"> </w:t>
      </w:r>
      <w:r w:rsidR="00B50AE1">
        <w:rPr>
          <w:rFonts w:eastAsiaTheme="minorEastAsia"/>
          <w:noProof/>
          <w:szCs w:val="24"/>
          <w:lang w:eastAsia="ja-JP"/>
        </w:rPr>
        <w:t>evidencia datos similares al a</w:t>
      </w:r>
      <w:r w:rsidR="00BB397B">
        <w:rPr>
          <w:rFonts w:eastAsiaTheme="minorEastAsia"/>
          <w:noProof/>
          <w:szCs w:val="24"/>
          <w:lang w:eastAsia="ja-JP"/>
        </w:rPr>
        <w:t>ñ</w:t>
      </w:r>
      <w:r w:rsidR="00B50AE1">
        <w:rPr>
          <w:rFonts w:eastAsiaTheme="minorEastAsia"/>
          <w:noProof/>
          <w:szCs w:val="24"/>
          <w:lang w:eastAsia="ja-JP"/>
        </w:rPr>
        <w:t xml:space="preserve">o precedente. </w:t>
      </w:r>
      <w:r w:rsidR="00CC4AB8">
        <w:rPr>
          <w:rFonts w:eastAsiaTheme="minorEastAsia"/>
          <w:noProof/>
          <w:szCs w:val="24"/>
          <w:lang w:eastAsia="ja-JP"/>
        </w:rPr>
        <w:t>El 40% de los alumnos quedaron en la condición de libres por no haber aprobado las instancias evaluativas</w:t>
      </w:r>
      <w:r w:rsidR="00FA491D">
        <w:rPr>
          <w:rFonts w:eastAsiaTheme="minorEastAsia"/>
          <w:noProof/>
          <w:szCs w:val="24"/>
          <w:lang w:eastAsia="ja-JP"/>
        </w:rPr>
        <w:t>,</w:t>
      </w:r>
      <w:r w:rsidR="00CC4AB8">
        <w:rPr>
          <w:rFonts w:eastAsiaTheme="minorEastAsia"/>
          <w:noProof/>
          <w:szCs w:val="24"/>
          <w:lang w:eastAsia="ja-JP"/>
        </w:rPr>
        <w:t xml:space="preserve"> mientras que los restantes alcanzaron la regularidad, donde sólo un cuarto de los mismos se vio en la necesidad de realizar un recuperatorio pa</w:t>
      </w:r>
      <w:r w:rsidR="00475F78">
        <w:rPr>
          <w:rFonts w:eastAsiaTheme="minorEastAsia"/>
          <w:noProof/>
          <w:szCs w:val="24"/>
          <w:lang w:eastAsia="ja-JP"/>
        </w:rPr>
        <w:t>r</w:t>
      </w:r>
      <w:r w:rsidR="00CC4AB8">
        <w:rPr>
          <w:rFonts w:eastAsiaTheme="minorEastAsia"/>
          <w:noProof/>
          <w:szCs w:val="24"/>
          <w:lang w:eastAsia="ja-JP"/>
        </w:rPr>
        <w:t>a lograrlo. La calificación promedio de los alumnos regulares fue de 6,48. En cuanto al rendimiento académico en los exámen</w:t>
      </w:r>
      <w:r w:rsidR="00FA491D">
        <w:rPr>
          <w:rFonts w:eastAsiaTheme="minorEastAsia"/>
          <w:noProof/>
          <w:szCs w:val="24"/>
          <w:lang w:eastAsia="ja-JP"/>
        </w:rPr>
        <w:t>es finales, nuevamente</w:t>
      </w:r>
      <w:r w:rsidR="00CC4AB8">
        <w:rPr>
          <w:rFonts w:eastAsiaTheme="minorEastAsia"/>
          <w:noProof/>
          <w:szCs w:val="24"/>
          <w:lang w:eastAsia="ja-JP"/>
        </w:rPr>
        <w:t xml:space="preserve"> el 60% </w:t>
      </w:r>
      <w:r w:rsidR="00475F78">
        <w:rPr>
          <w:rFonts w:eastAsiaTheme="minorEastAsia"/>
          <w:noProof/>
          <w:szCs w:val="24"/>
          <w:lang w:eastAsia="ja-JP"/>
        </w:rPr>
        <w:t xml:space="preserve">de los estudiantes regulares de este año </w:t>
      </w:r>
      <w:r w:rsidR="00CC4AB8">
        <w:rPr>
          <w:rFonts w:eastAsiaTheme="minorEastAsia"/>
          <w:noProof/>
          <w:szCs w:val="24"/>
          <w:lang w:eastAsia="ja-JP"/>
        </w:rPr>
        <w:t>se presentó en el primer llamado, de los cuales sólo un poco más del 10% no alcanzó la nota mínima</w:t>
      </w:r>
      <w:r w:rsidR="00FA491D">
        <w:rPr>
          <w:rFonts w:eastAsiaTheme="minorEastAsia"/>
          <w:noProof/>
          <w:szCs w:val="24"/>
          <w:lang w:eastAsia="ja-JP"/>
        </w:rPr>
        <w:t xml:space="preserve"> para aprobar</w:t>
      </w:r>
      <w:r w:rsidR="00CC4AB8">
        <w:rPr>
          <w:rFonts w:eastAsiaTheme="minorEastAsia"/>
          <w:noProof/>
          <w:szCs w:val="24"/>
          <w:lang w:eastAsia="ja-JP"/>
        </w:rPr>
        <w:t xml:space="preserve">. En este ciclo lectivo, se repite el patrón del año anterior, puesto que se continuó con la política de brindar </w:t>
      </w:r>
      <w:r w:rsidR="00FA491D" w:rsidRPr="00FE021E">
        <w:rPr>
          <w:rFonts w:eastAsiaTheme="minorEastAsia"/>
          <w:noProof/>
          <w:szCs w:val="24"/>
          <w:lang w:eastAsia="ja-JP"/>
        </w:rPr>
        <w:t xml:space="preserve">la posibilidad de obtener una “regularidad especial”, en las mismas condiciones que en 2018 </w:t>
      </w:r>
      <w:r w:rsidR="00CC4AB8" w:rsidRPr="00FE021E">
        <w:rPr>
          <w:rFonts w:eastAsiaTheme="minorEastAsia"/>
          <w:noProof/>
          <w:szCs w:val="24"/>
          <w:lang w:eastAsia="ja-JP"/>
        </w:rPr>
        <w:t xml:space="preserve">y con el mismo requisito de </w:t>
      </w:r>
      <w:r w:rsidR="00DD001C" w:rsidRPr="00FE021E">
        <w:rPr>
          <w:rFonts w:eastAsiaTheme="minorEastAsia"/>
          <w:noProof/>
          <w:szCs w:val="24"/>
          <w:lang w:eastAsia="ja-JP"/>
        </w:rPr>
        <w:t xml:space="preserve">tener que </w:t>
      </w:r>
      <w:r w:rsidR="00CC4AB8" w:rsidRPr="00FE021E">
        <w:rPr>
          <w:rFonts w:eastAsiaTheme="minorEastAsia"/>
          <w:noProof/>
          <w:szCs w:val="24"/>
          <w:lang w:eastAsia="ja-JP"/>
        </w:rPr>
        <w:t>presentarse en el primer turno de examen</w:t>
      </w:r>
      <w:r w:rsidR="00FA491D" w:rsidRPr="00FE021E">
        <w:rPr>
          <w:rFonts w:eastAsiaTheme="minorEastAsia"/>
          <w:noProof/>
          <w:szCs w:val="24"/>
          <w:lang w:eastAsia="ja-JP"/>
        </w:rPr>
        <w:t xml:space="preserve"> </w:t>
      </w:r>
      <w:r w:rsidR="00DD001C" w:rsidRPr="00FE021E">
        <w:rPr>
          <w:rFonts w:eastAsiaTheme="minorEastAsia"/>
          <w:noProof/>
          <w:szCs w:val="24"/>
          <w:lang w:eastAsia="ja-JP"/>
        </w:rPr>
        <w:t>(</w:t>
      </w:r>
      <w:r w:rsidR="00FA491D" w:rsidRPr="00FE021E">
        <w:rPr>
          <w:rFonts w:eastAsiaTheme="minorEastAsia"/>
          <w:noProof/>
          <w:szCs w:val="24"/>
          <w:lang w:eastAsia="ja-JP"/>
        </w:rPr>
        <w:t>siguiente a la finalización del cursado</w:t>
      </w:r>
      <w:r w:rsidR="00DD001C" w:rsidRPr="00FE021E">
        <w:rPr>
          <w:rFonts w:eastAsiaTheme="minorEastAsia"/>
          <w:noProof/>
          <w:szCs w:val="24"/>
          <w:lang w:eastAsia="ja-JP"/>
        </w:rPr>
        <w:t>)</w:t>
      </w:r>
      <w:r w:rsidR="00CC4AB8" w:rsidRPr="00FE021E">
        <w:rPr>
          <w:rFonts w:eastAsiaTheme="minorEastAsia"/>
          <w:noProof/>
          <w:szCs w:val="24"/>
          <w:lang w:eastAsia="ja-JP"/>
        </w:rPr>
        <w:t xml:space="preserve"> para </w:t>
      </w:r>
      <w:r w:rsidR="00DD001C" w:rsidRPr="00FE021E">
        <w:rPr>
          <w:rFonts w:eastAsiaTheme="minorEastAsia"/>
          <w:noProof/>
          <w:szCs w:val="24"/>
          <w:lang w:eastAsia="ja-JP"/>
        </w:rPr>
        <w:t>tener</w:t>
      </w:r>
      <w:r w:rsidR="00CC4AB8" w:rsidRPr="00FE021E">
        <w:rPr>
          <w:rFonts w:eastAsiaTheme="minorEastAsia"/>
          <w:noProof/>
          <w:szCs w:val="24"/>
          <w:lang w:eastAsia="ja-JP"/>
        </w:rPr>
        <w:t xml:space="preserve"> los beneficios</w:t>
      </w:r>
      <w:r w:rsidR="00FA491D" w:rsidRPr="00FE021E">
        <w:rPr>
          <w:rFonts w:eastAsiaTheme="minorEastAsia"/>
          <w:noProof/>
          <w:szCs w:val="24"/>
          <w:lang w:eastAsia="ja-JP"/>
        </w:rPr>
        <w:t xml:space="preserve"> de dicho régimen</w:t>
      </w:r>
      <w:r w:rsidR="00CC4AB8">
        <w:rPr>
          <w:rFonts w:eastAsiaTheme="minorEastAsia"/>
          <w:noProof/>
          <w:szCs w:val="24"/>
          <w:lang w:eastAsia="ja-JP"/>
        </w:rPr>
        <w:t xml:space="preserve">. Lo notable </w:t>
      </w:r>
      <w:r w:rsidR="00475F78">
        <w:rPr>
          <w:rFonts w:eastAsiaTheme="minorEastAsia"/>
          <w:noProof/>
          <w:szCs w:val="24"/>
          <w:lang w:eastAsia="ja-JP"/>
        </w:rPr>
        <w:t>de este grupo de alumnos</w:t>
      </w:r>
      <w:r w:rsidR="00CC4AB8">
        <w:rPr>
          <w:rFonts w:eastAsiaTheme="minorEastAsia"/>
          <w:noProof/>
          <w:szCs w:val="24"/>
          <w:lang w:eastAsia="ja-JP"/>
        </w:rPr>
        <w:t xml:space="preserve"> es que más allá de ese primer llamado, no se presentó ningún estudiante durante </w:t>
      </w:r>
      <w:r w:rsidR="00A86EF0">
        <w:rPr>
          <w:rFonts w:eastAsiaTheme="minorEastAsia"/>
          <w:noProof/>
          <w:szCs w:val="24"/>
          <w:lang w:eastAsia="ja-JP"/>
        </w:rPr>
        <w:t>los siguientes 12 meses.</w:t>
      </w:r>
    </w:p>
    <w:p w14:paraId="54010644" w14:textId="7088CDFE" w:rsidR="00FB303B" w:rsidRDefault="00D26CCB" w:rsidP="00EF18A2">
      <w:pPr>
        <w:spacing w:line="360" w:lineRule="auto"/>
        <w:jc w:val="both"/>
        <w:rPr>
          <w:rFonts w:eastAsiaTheme="minorEastAsia"/>
          <w:noProof/>
          <w:szCs w:val="24"/>
          <w:lang w:eastAsia="ja-JP"/>
        </w:rPr>
      </w:pPr>
      <w:r w:rsidRPr="00FE021E">
        <w:rPr>
          <w:rFonts w:eastAsiaTheme="minorEastAsia"/>
          <w:noProof/>
          <w:szCs w:val="24"/>
          <w:lang w:eastAsia="ja-JP"/>
        </w:rPr>
        <w:t>Al comenzar el año 202</w:t>
      </w:r>
      <w:r w:rsidR="00C26991" w:rsidRPr="00FE021E">
        <w:rPr>
          <w:rFonts w:eastAsiaTheme="minorEastAsia"/>
          <w:noProof/>
          <w:szCs w:val="24"/>
          <w:lang w:eastAsia="ja-JP"/>
        </w:rPr>
        <w:t>0, con la  llegada del COVID-19 y</w:t>
      </w:r>
      <w:r w:rsidR="007D2325" w:rsidRPr="00FE021E">
        <w:rPr>
          <w:rFonts w:eastAsiaTheme="minorEastAsia"/>
          <w:noProof/>
          <w:szCs w:val="24"/>
          <w:lang w:eastAsia="ja-JP"/>
        </w:rPr>
        <w:t xml:space="preserve"> la excepcionalidad pedagógica </w:t>
      </w:r>
      <w:r w:rsidR="001C374E" w:rsidRPr="00FE021E">
        <w:rPr>
          <w:rFonts w:eastAsiaTheme="minorEastAsia"/>
          <w:noProof/>
          <w:szCs w:val="24"/>
          <w:lang w:eastAsia="ja-JP"/>
        </w:rPr>
        <w:t>a la que la pandemi</w:t>
      </w:r>
      <w:r w:rsidR="00FE021E">
        <w:rPr>
          <w:rFonts w:eastAsiaTheme="minorEastAsia"/>
          <w:noProof/>
          <w:szCs w:val="24"/>
          <w:lang w:eastAsia="ja-JP"/>
        </w:rPr>
        <w:t>a</w:t>
      </w:r>
      <w:r w:rsidR="001C374E" w:rsidRPr="00FE021E">
        <w:rPr>
          <w:rFonts w:eastAsiaTheme="minorEastAsia"/>
          <w:noProof/>
          <w:szCs w:val="24"/>
          <w:lang w:eastAsia="ja-JP"/>
        </w:rPr>
        <w:t xml:space="preserve"> dio lugar</w:t>
      </w:r>
      <w:r w:rsidR="007D2325" w:rsidRPr="00FE021E">
        <w:rPr>
          <w:rFonts w:eastAsiaTheme="minorEastAsia"/>
          <w:noProof/>
          <w:szCs w:val="24"/>
          <w:lang w:eastAsia="ja-JP"/>
        </w:rPr>
        <w:t xml:space="preserve">, </w:t>
      </w:r>
      <w:r w:rsidR="001C374E" w:rsidRPr="00FE021E">
        <w:rPr>
          <w:rFonts w:eastAsiaTheme="minorEastAsia"/>
          <w:noProof/>
          <w:szCs w:val="24"/>
          <w:lang w:eastAsia="ja-JP"/>
        </w:rPr>
        <w:t>los procesos de enseñanza y aprendizaje se desarrollaron en la modalidad virtual y, así también</w:t>
      </w:r>
      <w:r w:rsidR="004001A8" w:rsidRPr="00FE021E">
        <w:rPr>
          <w:rFonts w:eastAsiaTheme="minorEastAsia"/>
          <w:noProof/>
          <w:szCs w:val="24"/>
          <w:lang w:eastAsia="ja-JP"/>
        </w:rPr>
        <w:t>,</w:t>
      </w:r>
      <w:r w:rsidR="001C374E" w:rsidRPr="00FE021E">
        <w:rPr>
          <w:rFonts w:eastAsiaTheme="minorEastAsia"/>
          <w:noProof/>
          <w:szCs w:val="24"/>
          <w:lang w:eastAsia="ja-JP"/>
        </w:rPr>
        <w:t xml:space="preserve"> se modificaron algunas condiciones del curs</w:t>
      </w:r>
      <w:r w:rsidR="004001A8" w:rsidRPr="00FE021E">
        <w:rPr>
          <w:rFonts w:eastAsiaTheme="minorEastAsia"/>
          <w:noProof/>
          <w:szCs w:val="24"/>
          <w:lang w:eastAsia="ja-JP"/>
        </w:rPr>
        <w:t>ado. E</w:t>
      </w:r>
      <w:r w:rsidR="001C374E" w:rsidRPr="00FE021E">
        <w:rPr>
          <w:rFonts w:eastAsiaTheme="minorEastAsia"/>
          <w:noProof/>
          <w:szCs w:val="24"/>
          <w:lang w:eastAsia="ja-JP"/>
        </w:rPr>
        <w:t xml:space="preserve">ntre ellas, </w:t>
      </w:r>
      <w:r w:rsidR="007D2325" w:rsidRPr="00FE021E">
        <w:rPr>
          <w:rFonts w:eastAsiaTheme="minorEastAsia"/>
          <w:noProof/>
          <w:szCs w:val="24"/>
          <w:lang w:eastAsia="ja-JP"/>
        </w:rPr>
        <w:t xml:space="preserve">se </w:t>
      </w:r>
      <w:r w:rsidR="004001A8" w:rsidRPr="00FE021E">
        <w:rPr>
          <w:rFonts w:eastAsiaTheme="minorEastAsia"/>
          <w:noProof/>
          <w:szCs w:val="24"/>
          <w:lang w:eastAsia="ja-JP"/>
        </w:rPr>
        <w:t>suspendi</w:t>
      </w:r>
      <w:r w:rsidR="007D2325" w:rsidRPr="00FE021E">
        <w:rPr>
          <w:rFonts w:eastAsiaTheme="minorEastAsia"/>
          <w:noProof/>
          <w:szCs w:val="24"/>
          <w:lang w:eastAsia="ja-JP"/>
        </w:rPr>
        <w:t xml:space="preserve">ó </w:t>
      </w:r>
      <w:r w:rsidR="004001A8" w:rsidRPr="00FE021E">
        <w:rPr>
          <w:rFonts w:eastAsiaTheme="minorEastAsia"/>
          <w:noProof/>
          <w:szCs w:val="24"/>
          <w:lang w:eastAsia="ja-JP"/>
        </w:rPr>
        <w:t>el ofrecimiento de la “regularidad especial”, debido a las dificultades y a los nuevos desafíos que imponía evaluar en la virtualidad.</w:t>
      </w:r>
      <w:r w:rsidR="00737933" w:rsidRPr="00FE021E">
        <w:rPr>
          <w:rFonts w:eastAsiaTheme="minorEastAsia"/>
          <w:noProof/>
          <w:szCs w:val="24"/>
          <w:lang w:eastAsia="ja-JP"/>
        </w:rPr>
        <w:t xml:space="preserve"> No obstante, los porcentajes de regularidad se mantuvieron en niveles similares </w:t>
      </w:r>
      <w:r w:rsidR="004001A8" w:rsidRPr="00FE021E">
        <w:rPr>
          <w:rFonts w:eastAsiaTheme="minorEastAsia"/>
          <w:noProof/>
          <w:szCs w:val="24"/>
          <w:lang w:eastAsia="ja-JP"/>
        </w:rPr>
        <w:t>a los de</w:t>
      </w:r>
      <w:r w:rsidR="00737933" w:rsidRPr="00FE021E">
        <w:rPr>
          <w:rFonts w:eastAsiaTheme="minorEastAsia"/>
          <w:noProof/>
          <w:szCs w:val="24"/>
          <w:lang w:eastAsia="ja-JP"/>
        </w:rPr>
        <w:t xml:space="preserve"> los años anteriores al cambio de modelo. </w:t>
      </w:r>
      <w:r w:rsidR="004001A8" w:rsidRPr="00FE021E">
        <w:rPr>
          <w:rFonts w:eastAsiaTheme="minorEastAsia"/>
          <w:noProof/>
          <w:szCs w:val="24"/>
          <w:lang w:eastAsia="ja-JP"/>
        </w:rPr>
        <w:t>Así, en 2020, d</w:t>
      </w:r>
      <w:r w:rsidR="00737933" w:rsidRPr="00FE021E">
        <w:rPr>
          <w:rFonts w:eastAsiaTheme="minorEastAsia"/>
          <w:noProof/>
          <w:szCs w:val="24"/>
          <w:lang w:eastAsia="ja-JP"/>
        </w:rPr>
        <w:t>e los 138 alumnos cursa</w:t>
      </w:r>
      <w:r w:rsidR="00737933">
        <w:rPr>
          <w:rFonts w:eastAsiaTheme="minorEastAsia"/>
          <w:noProof/>
          <w:szCs w:val="24"/>
          <w:lang w:eastAsia="ja-JP"/>
        </w:rPr>
        <w:t>ntes,  el 64% obtuvo la regularidad (donde sólo 2 de cada 10 lograron la condición aprobando los dos parciales sin realizar recuperatorio). La calificación media</w:t>
      </w:r>
      <w:r w:rsidR="003C4D14">
        <w:rPr>
          <w:rFonts w:eastAsiaTheme="minorEastAsia"/>
          <w:noProof/>
          <w:szCs w:val="24"/>
          <w:lang w:eastAsia="ja-JP"/>
        </w:rPr>
        <w:t xml:space="preserve"> lograda para regularizar fue 7,25. Si comparamos est</w:t>
      </w:r>
      <w:r w:rsidR="00A82255">
        <w:rPr>
          <w:rFonts w:eastAsiaTheme="minorEastAsia"/>
          <w:noProof/>
          <w:szCs w:val="24"/>
          <w:lang w:eastAsia="ja-JP"/>
        </w:rPr>
        <w:t>e</w:t>
      </w:r>
      <w:r w:rsidR="003C4D14">
        <w:rPr>
          <w:rFonts w:eastAsiaTheme="minorEastAsia"/>
          <w:noProof/>
          <w:szCs w:val="24"/>
          <w:lang w:eastAsia="ja-JP"/>
        </w:rPr>
        <w:t xml:space="preserve"> valor con los de los años anteriores, se vislumbra una mejora en el rendimiento (reflejada en la nota promedio)</w:t>
      </w:r>
      <w:r w:rsidR="00B3696A">
        <w:rPr>
          <w:rFonts w:eastAsiaTheme="minorEastAsia"/>
          <w:noProof/>
          <w:szCs w:val="24"/>
          <w:lang w:eastAsia="ja-JP"/>
        </w:rPr>
        <w:t xml:space="preserve">. No obstante, este fenómeno </w:t>
      </w:r>
      <w:r w:rsidR="00C9559E">
        <w:rPr>
          <w:rFonts w:eastAsiaTheme="minorEastAsia"/>
          <w:noProof/>
          <w:szCs w:val="24"/>
          <w:lang w:eastAsia="ja-JP"/>
        </w:rPr>
        <w:t>se revierte</w:t>
      </w:r>
      <w:r w:rsidR="00DC6D02">
        <w:rPr>
          <w:rFonts w:eastAsiaTheme="minorEastAsia"/>
          <w:noProof/>
          <w:szCs w:val="24"/>
          <w:lang w:eastAsia="ja-JP"/>
        </w:rPr>
        <w:t xml:space="preserve"> en el año 2021 (segundo año con excepcionaldad pedagógica) </w:t>
      </w:r>
      <w:r w:rsidR="00C9559E">
        <w:rPr>
          <w:rFonts w:eastAsiaTheme="minorEastAsia"/>
          <w:noProof/>
          <w:szCs w:val="24"/>
          <w:lang w:eastAsia="ja-JP"/>
        </w:rPr>
        <w:t xml:space="preserve">donde la calificación media </w:t>
      </w:r>
      <w:r w:rsidR="00DC6D02">
        <w:rPr>
          <w:rFonts w:eastAsiaTheme="minorEastAsia"/>
          <w:noProof/>
          <w:szCs w:val="24"/>
          <w:lang w:eastAsia="ja-JP"/>
        </w:rPr>
        <w:t>cae notablemente a 5,41 y menos de la mitad de los cursantes (48%) obtiene la regularidad</w:t>
      </w:r>
      <w:r w:rsidR="00DC6D02" w:rsidRPr="00FE021E">
        <w:rPr>
          <w:rFonts w:eastAsiaTheme="minorEastAsia"/>
          <w:noProof/>
          <w:szCs w:val="24"/>
          <w:lang w:eastAsia="ja-JP"/>
        </w:rPr>
        <w:t xml:space="preserve">. </w:t>
      </w:r>
      <w:r w:rsidR="0032397F" w:rsidRPr="00FE021E">
        <w:rPr>
          <w:rFonts w:eastAsiaTheme="minorEastAsia"/>
          <w:noProof/>
          <w:szCs w:val="24"/>
          <w:lang w:eastAsia="ja-JP"/>
        </w:rPr>
        <w:t xml:space="preserve">Entendemos que la situación antes descripta puede estar estrechamente vinculada a los cambios que fuimos desarrollando en la forma de desarrollar los </w:t>
      </w:r>
      <w:r w:rsidR="0032397F" w:rsidRPr="00FE021E">
        <w:rPr>
          <w:rFonts w:eastAsiaTheme="minorEastAsia"/>
          <w:noProof/>
          <w:szCs w:val="24"/>
          <w:lang w:eastAsia="ja-JP"/>
        </w:rPr>
        <w:lastRenderedPageBreak/>
        <w:t xml:space="preserve">exámenes parciales, siempre en pos de asegurar que a través de los mismos </w:t>
      </w:r>
      <w:r w:rsidR="00C5643A" w:rsidRPr="00FE021E">
        <w:rPr>
          <w:rFonts w:eastAsiaTheme="minorEastAsia"/>
          <w:noProof/>
          <w:szCs w:val="24"/>
          <w:lang w:eastAsia="ja-JP"/>
        </w:rPr>
        <w:t>pudiéramos obtener un material que fuera “genuinamente” elaborado por cada estudiante, de manera individual.</w:t>
      </w:r>
    </w:p>
    <w:p w14:paraId="6A6CAA82" w14:textId="1B896D68" w:rsidR="00B33E11" w:rsidRDefault="0021533C" w:rsidP="00B33E11">
      <w:pPr>
        <w:spacing w:line="360" w:lineRule="auto"/>
        <w:jc w:val="both"/>
        <w:rPr>
          <w:rFonts w:eastAsiaTheme="minorEastAsia"/>
          <w:noProof/>
          <w:szCs w:val="24"/>
          <w:lang w:eastAsia="ja-JP"/>
        </w:rPr>
      </w:pPr>
      <w:r>
        <w:rPr>
          <w:rFonts w:eastAsiaTheme="minorEastAsia"/>
          <w:noProof/>
          <w:szCs w:val="24"/>
          <w:lang w:eastAsia="ja-JP"/>
        </w:rPr>
        <w:t xml:space="preserve">En cuanto a la tasa de presentación a los exámenes finales durante el </w:t>
      </w:r>
      <w:r w:rsidRPr="00FE021E">
        <w:rPr>
          <w:rFonts w:eastAsiaTheme="minorEastAsia"/>
          <w:noProof/>
          <w:szCs w:val="24"/>
          <w:lang w:eastAsia="ja-JP"/>
        </w:rPr>
        <w:t xml:space="preserve">primer </w:t>
      </w:r>
      <w:r w:rsidR="00C5643A" w:rsidRPr="00FE021E">
        <w:rPr>
          <w:rFonts w:eastAsiaTheme="minorEastAsia"/>
          <w:noProof/>
          <w:szCs w:val="24"/>
          <w:lang w:eastAsia="ja-JP"/>
        </w:rPr>
        <w:t>turno</w:t>
      </w:r>
      <w:r w:rsidRPr="00FE021E">
        <w:rPr>
          <w:rFonts w:eastAsiaTheme="minorEastAsia"/>
          <w:noProof/>
          <w:szCs w:val="24"/>
          <w:lang w:eastAsia="ja-JP"/>
        </w:rPr>
        <w:t>,</w:t>
      </w:r>
      <w:r>
        <w:rPr>
          <w:rFonts w:eastAsiaTheme="minorEastAsia"/>
          <w:noProof/>
          <w:szCs w:val="24"/>
          <w:lang w:eastAsia="ja-JP"/>
        </w:rPr>
        <w:t xml:space="preserve"> en el año 2020 ésta present</w:t>
      </w:r>
      <w:r w:rsidR="00A056D6">
        <w:rPr>
          <w:rFonts w:eastAsiaTheme="minorEastAsia"/>
          <w:noProof/>
          <w:szCs w:val="24"/>
          <w:lang w:eastAsia="ja-JP"/>
        </w:rPr>
        <w:t>ó</w:t>
      </w:r>
      <w:r w:rsidR="00C5643A">
        <w:rPr>
          <w:rFonts w:eastAsiaTheme="minorEastAsia"/>
          <w:noProof/>
          <w:szCs w:val="24"/>
          <w:lang w:eastAsia="ja-JP"/>
        </w:rPr>
        <w:t xml:space="preserve"> una marcada baja (</w:t>
      </w:r>
      <w:r>
        <w:rPr>
          <w:rFonts w:eastAsiaTheme="minorEastAsia"/>
          <w:noProof/>
          <w:szCs w:val="24"/>
          <w:lang w:eastAsia="ja-JP"/>
        </w:rPr>
        <w:t>sólo el 11% de los estudiantes regulares elig</w:t>
      </w:r>
      <w:r w:rsidR="00A056D6">
        <w:rPr>
          <w:rFonts w:eastAsiaTheme="minorEastAsia"/>
          <w:noProof/>
          <w:szCs w:val="24"/>
          <w:lang w:eastAsia="ja-JP"/>
        </w:rPr>
        <w:t>ió</w:t>
      </w:r>
      <w:r>
        <w:rPr>
          <w:rFonts w:eastAsiaTheme="minorEastAsia"/>
          <w:noProof/>
          <w:szCs w:val="24"/>
          <w:lang w:eastAsia="ja-JP"/>
        </w:rPr>
        <w:t xml:space="preserve"> esta instancia</w:t>
      </w:r>
      <w:r w:rsidR="00C5643A">
        <w:rPr>
          <w:rFonts w:eastAsiaTheme="minorEastAsia"/>
          <w:noProof/>
          <w:szCs w:val="24"/>
          <w:lang w:eastAsia="ja-JP"/>
        </w:rPr>
        <w:t>)</w:t>
      </w:r>
      <w:r>
        <w:rPr>
          <w:rFonts w:eastAsiaTheme="minorEastAsia"/>
          <w:noProof/>
          <w:szCs w:val="24"/>
          <w:lang w:eastAsia="ja-JP"/>
        </w:rPr>
        <w:t>, obteniendo sólo la mitad del grupo de alumnos un resultado satisfactori</w:t>
      </w:r>
      <w:r w:rsidR="00A056D6">
        <w:rPr>
          <w:rFonts w:eastAsiaTheme="minorEastAsia"/>
          <w:noProof/>
          <w:szCs w:val="24"/>
          <w:lang w:eastAsia="ja-JP"/>
        </w:rPr>
        <w:t>o</w:t>
      </w:r>
      <w:r>
        <w:rPr>
          <w:rFonts w:eastAsiaTheme="minorEastAsia"/>
          <w:noProof/>
          <w:szCs w:val="24"/>
          <w:lang w:eastAsia="ja-JP"/>
        </w:rPr>
        <w:t xml:space="preserve">. En el año 2021, casi el 40% de los regulares opta por el primer turno (y sólo 1 de cada 3 aprueba el examen). </w:t>
      </w:r>
      <w:r w:rsidR="00C5643A" w:rsidRPr="00FE021E">
        <w:rPr>
          <w:rFonts w:eastAsiaTheme="minorEastAsia"/>
          <w:noProof/>
          <w:szCs w:val="24"/>
          <w:lang w:eastAsia="ja-JP"/>
        </w:rPr>
        <w:t xml:space="preserve">De este modo, y en lo que respecta a la aprobación del espacio curricular, se aprecia un cambio significativo en el período de excepcionalidad pedagógica, donde se advierte que, tanto la tasa de presentación a rendir los exámenes finales como la de aprobación de los mismos, disminuye respecto del período 2018-2019. En este sentido, parecería, que </w:t>
      </w:r>
      <w:r w:rsidR="0099642A" w:rsidRPr="00FE021E">
        <w:rPr>
          <w:rFonts w:eastAsiaTheme="minorEastAsia"/>
          <w:noProof/>
          <w:szCs w:val="24"/>
          <w:lang w:eastAsia="ja-JP"/>
        </w:rPr>
        <w:t xml:space="preserve">el cambio en </w:t>
      </w:r>
      <w:r w:rsidR="00B33E11" w:rsidRPr="00FE021E">
        <w:rPr>
          <w:rFonts w:eastAsiaTheme="minorEastAsia"/>
          <w:noProof/>
          <w:szCs w:val="24"/>
          <w:lang w:eastAsia="ja-JP"/>
        </w:rPr>
        <w:t>algun</w:t>
      </w:r>
      <w:r w:rsidR="0099642A" w:rsidRPr="00FE021E">
        <w:rPr>
          <w:rFonts w:eastAsiaTheme="minorEastAsia"/>
          <w:noProof/>
          <w:szCs w:val="24"/>
          <w:lang w:eastAsia="ja-JP"/>
        </w:rPr>
        <w:t>as condiciones (</w:t>
      </w:r>
      <w:r w:rsidR="00B33E11" w:rsidRPr="00FE021E">
        <w:rPr>
          <w:rFonts w:eastAsiaTheme="minorEastAsia"/>
          <w:noProof/>
          <w:szCs w:val="24"/>
          <w:lang w:eastAsia="ja-JP"/>
        </w:rPr>
        <w:t>ausencia de la posibilidad de obtener la “regularidad especial”</w:t>
      </w:r>
      <w:r w:rsidR="0099642A" w:rsidRPr="00FE021E">
        <w:rPr>
          <w:rFonts w:eastAsiaTheme="minorEastAsia"/>
          <w:noProof/>
          <w:szCs w:val="24"/>
          <w:lang w:eastAsia="ja-JP"/>
        </w:rPr>
        <w:t xml:space="preserve"> y </w:t>
      </w:r>
      <w:r w:rsidR="00B33E11" w:rsidRPr="00FE021E">
        <w:rPr>
          <w:rFonts w:eastAsiaTheme="minorEastAsia"/>
          <w:noProof/>
          <w:szCs w:val="24"/>
          <w:lang w:eastAsia="ja-JP"/>
        </w:rPr>
        <w:t>modificaciones</w:t>
      </w:r>
      <w:r w:rsidR="0099642A" w:rsidRPr="00FE021E">
        <w:rPr>
          <w:rFonts w:eastAsiaTheme="minorEastAsia"/>
          <w:noProof/>
          <w:szCs w:val="24"/>
          <w:lang w:eastAsia="ja-JP"/>
        </w:rPr>
        <w:t xml:space="preserve"> en la forma de tomar el examen</w:t>
      </w:r>
      <w:r w:rsidR="00B33E11" w:rsidRPr="00FE021E">
        <w:rPr>
          <w:rFonts w:eastAsiaTheme="minorEastAsia"/>
          <w:noProof/>
          <w:szCs w:val="24"/>
          <w:lang w:eastAsia="ja-JP"/>
        </w:rPr>
        <w:t xml:space="preserve"> final</w:t>
      </w:r>
      <w:r w:rsidR="0099642A" w:rsidRPr="00FE021E">
        <w:rPr>
          <w:rFonts w:eastAsiaTheme="minorEastAsia"/>
          <w:noProof/>
          <w:szCs w:val="24"/>
          <w:lang w:eastAsia="ja-JP"/>
        </w:rPr>
        <w:t xml:space="preserve">) </w:t>
      </w:r>
      <w:r w:rsidR="00B33E11" w:rsidRPr="00FE021E">
        <w:rPr>
          <w:rFonts w:eastAsiaTheme="minorEastAsia"/>
          <w:noProof/>
          <w:szCs w:val="24"/>
          <w:lang w:eastAsia="ja-JP"/>
        </w:rPr>
        <w:t xml:space="preserve">puede haber influido en el hecho de </w:t>
      </w:r>
      <w:r w:rsidR="0099642A" w:rsidRPr="00FE021E">
        <w:rPr>
          <w:rFonts w:eastAsiaTheme="minorEastAsia"/>
          <w:noProof/>
          <w:szCs w:val="24"/>
          <w:lang w:eastAsia="ja-JP"/>
        </w:rPr>
        <w:t>que</w:t>
      </w:r>
      <w:r w:rsidR="00B33E11" w:rsidRPr="00FE021E">
        <w:rPr>
          <w:rFonts w:eastAsiaTheme="minorEastAsia"/>
          <w:noProof/>
          <w:szCs w:val="24"/>
          <w:lang w:eastAsia="ja-JP"/>
        </w:rPr>
        <w:t xml:space="preserve"> muchos de</w:t>
      </w:r>
      <w:r w:rsidR="0099642A" w:rsidRPr="00FE021E">
        <w:rPr>
          <w:rFonts w:eastAsiaTheme="minorEastAsia"/>
          <w:noProof/>
          <w:szCs w:val="24"/>
          <w:lang w:eastAsia="ja-JP"/>
        </w:rPr>
        <w:t xml:space="preserve"> los alumnos regulares decidieran no presentarse </w:t>
      </w:r>
      <w:r w:rsidR="00B33E11" w:rsidRPr="00FE021E">
        <w:rPr>
          <w:rFonts w:eastAsiaTheme="minorEastAsia"/>
          <w:noProof/>
          <w:szCs w:val="24"/>
          <w:lang w:eastAsia="ja-JP"/>
        </w:rPr>
        <w:t xml:space="preserve">a rendir </w:t>
      </w:r>
      <w:r w:rsidR="0099642A" w:rsidRPr="00FE021E">
        <w:rPr>
          <w:rFonts w:eastAsiaTheme="minorEastAsia"/>
          <w:noProof/>
          <w:szCs w:val="24"/>
          <w:lang w:eastAsia="ja-JP"/>
        </w:rPr>
        <w:t>y los que lo hacían, no obt</w:t>
      </w:r>
      <w:r w:rsidR="00B33E11" w:rsidRPr="00FE021E">
        <w:rPr>
          <w:rFonts w:eastAsiaTheme="minorEastAsia"/>
          <w:noProof/>
          <w:szCs w:val="24"/>
          <w:lang w:eastAsia="ja-JP"/>
        </w:rPr>
        <w:t xml:space="preserve">uvieran </w:t>
      </w:r>
      <w:r w:rsidR="0099642A" w:rsidRPr="00FE021E">
        <w:rPr>
          <w:rFonts w:eastAsiaTheme="minorEastAsia"/>
          <w:noProof/>
          <w:szCs w:val="24"/>
          <w:lang w:eastAsia="ja-JP"/>
        </w:rPr>
        <w:t>buenos resultados.</w:t>
      </w:r>
      <w:r w:rsidR="00B33E11" w:rsidRPr="00FE021E">
        <w:rPr>
          <w:rFonts w:eastAsiaTheme="minorEastAsia"/>
          <w:noProof/>
          <w:szCs w:val="24"/>
          <w:lang w:eastAsia="ja-JP"/>
        </w:rPr>
        <w:t xml:space="preserve"> Sin embargo, no debemos perder de vista que existe una multiplicidad de factores que pueden influir en el desempeño académico de los alumnos, tales como variables personales, socio-familiares, académicas, institucionales, entre otras, las que también pueden haber afectado a nuestros estudiantes en este dif</w:t>
      </w:r>
      <w:r w:rsidR="00FC738A" w:rsidRPr="00FE021E">
        <w:rPr>
          <w:rFonts w:eastAsiaTheme="minorEastAsia"/>
          <w:noProof/>
          <w:szCs w:val="24"/>
          <w:lang w:eastAsia="ja-JP"/>
        </w:rPr>
        <w:t>ícil per</w:t>
      </w:r>
      <w:r w:rsidR="00B33E11" w:rsidRPr="00FE021E">
        <w:rPr>
          <w:rFonts w:eastAsiaTheme="minorEastAsia"/>
          <w:noProof/>
          <w:szCs w:val="24"/>
          <w:lang w:eastAsia="ja-JP"/>
        </w:rPr>
        <w:t>íodo de pandemia.</w:t>
      </w:r>
    </w:p>
    <w:p w14:paraId="714DCDEF" w14:textId="72E2D507" w:rsidR="00A056D6" w:rsidRDefault="00B33E11" w:rsidP="00EF18A2">
      <w:pPr>
        <w:spacing w:line="360" w:lineRule="auto"/>
        <w:jc w:val="both"/>
        <w:rPr>
          <w:rFonts w:eastAsiaTheme="minorEastAsia"/>
          <w:noProof/>
          <w:szCs w:val="24"/>
          <w:lang w:eastAsia="ja-JP"/>
        </w:rPr>
      </w:pPr>
      <w:r>
        <w:rPr>
          <w:rFonts w:eastAsiaTheme="minorEastAsia"/>
          <w:noProof/>
          <w:szCs w:val="24"/>
          <w:lang w:eastAsia="ja-JP"/>
        </w:rPr>
        <w:t>Resulta importante mencionar también que a</w:t>
      </w:r>
      <w:r w:rsidR="00A056D6">
        <w:rPr>
          <w:rFonts w:eastAsiaTheme="minorEastAsia"/>
          <w:noProof/>
          <w:szCs w:val="24"/>
          <w:lang w:eastAsia="ja-JP"/>
        </w:rPr>
        <w:t xml:space="preserve">quellos alumnos que obtuvieron la regularidad en el </w:t>
      </w:r>
      <w:r>
        <w:rPr>
          <w:rFonts w:eastAsiaTheme="minorEastAsia"/>
          <w:noProof/>
          <w:szCs w:val="24"/>
          <w:lang w:eastAsia="ja-JP"/>
        </w:rPr>
        <w:t xml:space="preserve">año </w:t>
      </w:r>
      <w:r w:rsidR="00A056D6">
        <w:rPr>
          <w:rFonts w:eastAsiaTheme="minorEastAsia"/>
          <w:noProof/>
          <w:szCs w:val="24"/>
          <w:lang w:eastAsia="ja-JP"/>
        </w:rPr>
        <w:t xml:space="preserve">2020, tampoco se presentaron en las mesas de exámenes en el transcurso del año, quedando </w:t>
      </w:r>
      <w:r w:rsidR="008C3E1E">
        <w:rPr>
          <w:rFonts w:eastAsiaTheme="minorEastAsia"/>
          <w:noProof/>
          <w:szCs w:val="24"/>
          <w:lang w:eastAsia="ja-JP"/>
        </w:rPr>
        <w:t xml:space="preserve">todavía </w:t>
      </w:r>
      <w:r w:rsidR="00A056D6">
        <w:rPr>
          <w:rFonts w:eastAsiaTheme="minorEastAsia"/>
          <w:noProof/>
          <w:szCs w:val="24"/>
          <w:lang w:eastAsia="ja-JP"/>
        </w:rPr>
        <w:t xml:space="preserve">más del 70% de los regulares sin aprobar </w:t>
      </w:r>
      <w:r w:rsidR="008C3E1E">
        <w:rPr>
          <w:rFonts w:eastAsiaTheme="minorEastAsia"/>
          <w:noProof/>
          <w:szCs w:val="24"/>
          <w:lang w:eastAsia="ja-JP"/>
        </w:rPr>
        <w:t>el espacio curricular</w:t>
      </w:r>
      <w:r w:rsidR="00A056D6">
        <w:rPr>
          <w:rFonts w:eastAsiaTheme="minorEastAsia"/>
          <w:noProof/>
          <w:szCs w:val="24"/>
          <w:lang w:eastAsia="ja-JP"/>
        </w:rPr>
        <w:t xml:space="preserve">. </w:t>
      </w:r>
    </w:p>
    <w:p w14:paraId="30FAF8D7" w14:textId="128BD246" w:rsidR="006F14DE" w:rsidRDefault="00D26CCB" w:rsidP="006F14DE">
      <w:pPr>
        <w:spacing w:line="360" w:lineRule="auto"/>
        <w:jc w:val="both"/>
        <w:rPr>
          <w:rFonts w:eastAsiaTheme="minorEastAsia"/>
          <w:noProof/>
          <w:szCs w:val="24"/>
          <w:lang w:eastAsia="ja-JP"/>
        </w:rPr>
      </w:pPr>
      <w:r>
        <w:rPr>
          <w:rFonts w:eastAsiaTheme="minorEastAsia"/>
          <w:noProof/>
          <w:szCs w:val="24"/>
          <w:lang w:eastAsia="ja-JP"/>
        </w:rPr>
        <w:t>Ca</w:t>
      </w:r>
      <w:r w:rsidR="006F14DE">
        <w:rPr>
          <w:rFonts w:eastAsiaTheme="minorEastAsia"/>
          <w:noProof/>
          <w:szCs w:val="24"/>
          <w:lang w:eastAsia="ja-JP"/>
        </w:rPr>
        <w:t xml:space="preserve">be destacar que durante todos los años de estudio, no es significavo el número de alumnos que se presenta a rendir </w:t>
      </w:r>
      <w:r w:rsidR="00B33E11">
        <w:rPr>
          <w:rFonts w:eastAsiaTheme="minorEastAsia"/>
          <w:noProof/>
          <w:szCs w:val="24"/>
          <w:lang w:eastAsia="ja-JP"/>
        </w:rPr>
        <w:t xml:space="preserve">en condición de </w:t>
      </w:r>
      <w:r w:rsidR="006F14DE">
        <w:rPr>
          <w:rFonts w:eastAsiaTheme="minorEastAsia"/>
          <w:noProof/>
          <w:szCs w:val="24"/>
          <w:lang w:eastAsia="ja-JP"/>
        </w:rPr>
        <w:t xml:space="preserve">libre y tampoco </w:t>
      </w:r>
      <w:r w:rsidR="00B33E11">
        <w:rPr>
          <w:rFonts w:eastAsiaTheme="minorEastAsia"/>
          <w:noProof/>
          <w:szCs w:val="24"/>
          <w:lang w:eastAsia="ja-JP"/>
        </w:rPr>
        <w:t xml:space="preserve">el número de estudiantes </w:t>
      </w:r>
      <w:r w:rsidR="006F14DE">
        <w:rPr>
          <w:rFonts w:eastAsiaTheme="minorEastAsia"/>
          <w:noProof/>
          <w:szCs w:val="24"/>
          <w:lang w:eastAsia="ja-JP"/>
        </w:rPr>
        <w:t>que debieron presentarse reiteradas veces para lograr l</w:t>
      </w:r>
      <w:r w:rsidR="00B33E11">
        <w:rPr>
          <w:rFonts w:eastAsiaTheme="minorEastAsia"/>
          <w:noProof/>
          <w:szCs w:val="24"/>
          <w:lang w:eastAsia="ja-JP"/>
        </w:rPr>
        <w:t>a aprobación de la asignatura</w:t>
      </w:r>
    </w:p>
    <w:p w14:paraId="27292B12" w14:textId="4B53891A" w:rsidR="006F14DE" w:rsidRDefault="00C8432F" w:rsidP="006F14DE">
      <w:pPr>
        <w:spacing w:line="360" w:lineRule="auto"/>
        <w:jc w:val="both"/>
        <w:rPr>
          <w:rFonts w:eastAsiaTheme="minorEastAsia"/>
          <w:noProof/>
          <w:szCs w:val="24"/>
          <w:lang w:eastAsia="ja-JP"/>
        </w:rPr>
      </w:pPr>
      <w:r w:rsidRPr="00FE021E">
        <w:rPr>
          <w:rFonts w:eastAsiaTheme="minorEastAsia"/>
          <w:noProof/>
          <w:szCs w:val="24"/>
          <w:lang w:eastAsia="ja-JP"/>
        </w:rPr>
        <w:t xml:space="preserve">En la Tabla 1 </w:t>
      </w:r>
      <w:r w:rsidR="00B33E11" w:rsidRPr="00FE021E">
        <w:rPr>
          <w:rFonts w:eastAsiaTheme="minorEastAsia"/>
          <w:noProof/>
          <w:szCs w:val="24"/>
          <w:lang w:eastAsia="ja-JP"/>
        </w:rPr>
        <w:t>esquematiza</w:t>
      </w:r>
      <w:r w:rsidRPr="00FE021E">
        <w:rPr>
          <w:rFonts w:eastAsiaTheme="minorEastAsia"/>
          <w:noProof/>
          <w:szCs w:val="24"/>
          <w:lang w:eastAsia="ja-JP"/>
        </w:rPr>
        <w:t xml:space="preserve"> los datos antes mencionados</w:t>
      </w:r>
      <w:r w:rsidR="00B33E11" w:rsidRPr="00FE021E">
        <w:rPr>
          <w:rFonts w:eastAsiaTheme="minorEastAsia"/>
          <w:noProof/>
          <w:szCs w:val="24"/>
          <w:lang w:eastAsia="ja-JP"/>
        </w:rPr>
        <w:t xml:space="preserve"> y comentados.</w:t>
      </w:r>
    </w:p>
    <w:p w14:paraId="5EBF7FC9" w14:textId="77777777" w:rsidR="00FE021E" w:rsidRDefault="00FE021E" w:rsidP="006F14DE">
      <w:pPr>
        <w:spacing w:line="360" w:lineRule="auto"/>
        <w:jc w:val="both"/>
        <w:rPr>
          <w:rFonts w:eastAsiaTheme="minorEastAsia"/>
          <w:noProof/>
          <w:szCs w:val="24"/>
          <w:lang w:eastAsia="ja-JP"/>
        </w:rPr>
      </w:pPr>
    </w:p>
    <w:p w14:paraId="528D409B" w14:textId="096ACF2E" w:rsidR="006F14DE" w:rsidRPr="00D2549C" w:rsidRDefault="00D2549C" w:rsidP="00D2549C">
      <w:pPr>
        <w:spacing w:line="360" w:lineRule="auto"/>
        <w:jc w:val="center"/>
        <w:rPr>
          <w:rFonts w:eastAsiaTheme="minorEastAsia"/>
          <w:b/>
          <w:noProof/>
          <w:szCs w:val="24"/>
          <w:lang w:eastAsia="ja-JP"/>
        </w:rPr>
      </w:pPr>
      <w:r w:rsidRPr="00D2549C">
        <w:rPr>
          <w:rFonts w:eastAsiaTheme="minorEastAsia"/>
          <w:b/>
          <w:noProof/>
          <w:szCs w:val="24"/>
          <w:lang w:eastAsia="ja-JP"/>
        </w:rPr>
        <w:t xml:space="preserve">Tabla 1: </w:t>
      </w:r>
      <w:r w:rsidR="00B33E11">
        <w:rPr>
          <w:rFonts w:eastAsiaTheme="minorEastAsia"/>
          <w:b/>
          <w:noProof/>
          <w:szCs w:val="24"/>
          <w:lang w:eastAsia="ja-JP"/>
        </w:rPr>
        <w:t>Elementos</w:t>
      </w:r>
      <w:r w:rsidRPr="00D2549C">
        <w:rPr>
          <w:rFonts w:eastAsiaTheme="minorEastAsia"/>
          <w:b/>
          <w:noProof/>
          <w:szCs w:val="24"/>
          <w:lang w:eastAsia="ja-JP"/>
        </w:rPr>
        <w:t xml:space="preserve"> de análisis durante </w:t>
      </w:r>
      <w:r w:rsidR="00B33E11">
        <w:rPr>
          <w:rFonts w:eastAsiaTheme="minorEastAsia"/>
          <w:b/>
          <w:noProof/>
          <w:szCs w:val="24"/>
          <w:lang w:eastAsia="ja-JP"/>
        </w:rPr>
        <w:t>el período</w:t>
      </w:r>
      <w:r w:rsidRPr="00D2549C">
        <w:rPr>
          <w:rFonts w:eastAsiaTheme="minorEastAsia"/>
          <w:b/>
          <w:noProof/>
          <w:szCs w:val="24"/>
          <w:lang w:eastAsia="ja-JP"/>
        </w:rPr>
        <w:t xml:space="preserve"> 2018-2021</w:t>
      </w:r>
    </w:p>
    <w:tbl>
      <w:tblPr>
        <w:tblW w:w="9346" w:type="dxa"/>
        <w:tblLayout w:type="fixed"/>
        <w:tblCellMar>
          <w:left w:w="70" w:type="dxa"/>
          <w:right w:w="70" w:type="dxa"/>
        </w:tblCellMar>
        <w:tblLook w:val="04A0" w:firstRow="1" w:lastRow="0" w:firstColumn="1" w:lastColumn="0" w:noHBand="0" w:noVBand="1"/>
      </w:tblPr>
      <w:tblGrid>
        <w:gridCol w:w="4668"/>
        <w:gridCol w:w="1169"/>
        <w:gridCol w:w="1170"/>
        <w:gridCol w:w="1169"/>
        <w:gridCol w:w="1170"/>
      </w:tblGrid>
      <w:tr w:rsidR="00D170BF" w:rsidRPr="00B33E11" w14:paraId="3E7B59F1" w14:textId="77777777" w:rsidTr="00B33E11">
        <w:trPr>
          <w:trHeight w:val="435"/>
        </w:trPr>
        <w:tc>
          <w:tcPr>
            <w:tcW w:w="4668" w:type="dxa"/>
            <w:shd w:val="clear" w:color="auto" w:fill="D9D9D9" w:themeFill="background1" w:themeFillShade="D9"/>
            <w:noWrap/>
            <w:vAlign w:val="bottom"/>
            <w:hideMark/>
          </w:tcPr>
          <w:p w14:paraId="6C4A06FD" w14:textId="29D5C297" w:rsidR="00D170BF" w:rsidRPr="00B33E11" w:rsidRDefault="00D170BF" w:rsidP="00B33E11">
            <w:pPr>
              <w:jc w:val="center"/>
              <w:rPr>
                <w:b/>
                <w:bCs/>
                <w:color w:val="000000"/>
                <w:szCs w:val="24"/>
                <w:lang w:val="es-AR" w:eastAsia="es-AR"/>
              </w:rPr>
            </w:pPr>
          </w:p>
        </w:tc>
        <w:tc>
          <w:tcPr>
            <w:tcW w:w="1169" w:type="dxa"/>
            <w:shd w:val="clear" w:color="auto" w:fill="D9D9D9" w:themeFill="background1" w:themeFillShade="D9"/>
            <w:noWrap/>
            <w:vAlign w:val="bottom"/>
            <w:hideMark/>
          </w:tcPr>
          <w:p w14:paraId="6EFB1903" w14:textId="77777777" w:rsidR="00D170BF" w:rsidRPr="00B33E11" w:rsidRDefault="00D170BF" w:rsidP="00B33E11">
            <w:pPr>
              <w:jc w:val="center"/>
              <w:rPr>
                <w:b/>
                <w:bCs/>
                <w:color w:val="000000"/>
                <w:szCs w:val="24"/>
                <w:lang w:val="es-AR" w:eastAsia="es-AR"/>
              </w:rPr>
            </w:pPr>
            <w:r w:rsidRPr="00B33E11">
              <w:rPr>
                <w:b/>
                <w:bCs/>
                <w:color w:val="000000"/>
                <w:szCs w:val="24"/>
                <w:lang w:val="es-AR" w:eastAsia="es-AR"/>
              </w:rPr>
              <w:t>2018</w:t>
            </w:r>
          </w:p>
        </w:tc>
        <w:tc>
          <w:tcPr>
            <w:tcW w:w="1170" w:type="dxa"/>
            <w:shd w:val="clear" w:color="auto" w:fill="D9D9D9" w:themeFill="background1" w:themeFillShade="D9"/>
            <w:noWrap/>
            <w:vAlign w:val="bottom"/>
            <w:hideMark/>
          </w:tcPr>
          <w:p w14:paraId="31FB77A9" w14:textId="77777777" w:rsidR="00D170BF" w:rsidRPr="00B33E11" w:rsidRDefault="00D170BF" w:rsidP="00B33E11">
            <w:pPr>
              <w:jc w:val="center"/>
              <w:rPr>
                <w:b/>
                <w:bCs/>
                <w:color w:val="000000"/>
                <w:szCs w:val="24"/>
                <w:lang w:val="es-AR" w:eastAsia="es-AR"/>
              </w:rPr>
            </w:pPr>
            <w:r w:rsidRPr="00B33E11">
              <w:rPr>
                <w:b/>
                <w:bCs/>
                <w:color w:val="000000"/>
                <w:szCs w:val="24"/>
                <w:lang w:val="es-AR" w:eastAsia="es-AR"/>
              </w:rPr>
              <w:t>2019</w:t>
            </w:r>
          </w:p>
        </w:tc>
        <w:tc>
          <w:tcPr>
            <w:tcW w:w="1169" w:type="dxa"/>
            <w:shd w:val="clear" w:color="auto" w:fill="D9D9D9" w:themeFill="background1" w:themeFillShade="D9"/>
            <w:noWrap/>
            <w:vAlign w:val="bottom"/>
            <w:hideMark/>
          </w:tcPr>
          <w:p w14:paraId="172A53B5" w14:textId="77777777" w:rsidR="00D170BF" w:rsidRPr="00B33E11" w:rsidRDefault="00D170BF" w:rsidP="00B33E11">
            <w:pPr>
              <w:jc w:val="center"/>
              <w:rPr>
                <w:b/>
                <w:bCs/>
                <w:color w:val="000000"/>
                <w:szCs w:val="24"/>
                <w:lang w:val="es-AR" w:eastAsia="es-AR"/>
              </w:rPr>
            </w:pPr>
            <w:r w:rsidRPr="00B33E11">
              <w:rPr>
                <w:b/>
                <w:bCs/>
                <w:color w:val="000000"/>
                <w:szCs w:val="24"/>
                <w:lang w:val="es-AR" w:eastAsia="es-AR"/>
              </w:rPr>
              <w:t>2020</w:t>
            </w:r>
          </w:p>
        </w:tc>
        <w:tc>
          <w:tcPr>
            <w:tcW w:w="1170" w:type="dxa"/>
            <w:shd w:val="clear" w:color="auto" w:fill="D9D9D9" w:themeFill="background1" w:themeFillShade="D9"/>
            <w:noWrap/>
            <w:vAlign w:val="bottom"/>
            <w:hideMark/>
          </w:tcPr>
          <w:p w14:paraId="4DD9FAE7" w14:textId="77777777" w:rsidR="00D170BF" w:rsidRPr="00B33E11" w:rsidRDefault="00D170BF" w:rsidP="00B33E11">
            <w:pPr>
              <w:jc w:val="center"/>
              <w:rPr>
                <w:b/>
                <w:bCs/>
                <w:color w:val="000000"/>
                <w:szCs w:val="24"/>
                <w:lang w:val="es-AR" w:eastAsia="es-AR"/>
              </w:rPr>
            </w:pPr>
            <w:r w:rsidRPr="00B33E11">
              <w:rPr>
                <w:b/>
                <w:bCs/>
                <w:color w:val="000000"/>
                <w:szCs w:val="24"/>
                <w:lang w:val="es-AR" w:eastAsia="es-AR"/>
              </w:rPr>
              <w:t>2021</w:t>
            </w:r>
          </w:p>
        </w:tc>
      </w:tr>
      <w:tr w:rsidR="00D170BF" w:rsidRPr="00D170BF" w14:paraId="3516FD8E" w14:textId="77777777" w:rsidTr="00B33E11">
        <w:trPr>
          <w:trHeight w:val="435"/>
        </w:trPr>
        <w:tc>
          <w:tcPr>
            <w:tcW w:w="4668" w:type="dxa"/>
            <w:shd w:val="clear" w:color="auto" w:fill="D9D9D9" w:themeFill="background1" w:themeFillShade="D9"/>
            <w:noWrap/>
            <w:vAlign w:val="bottom"/>
            <w:hideMark/>
          </w:tcPr>
          <w:p w14:paraId="1D364D37" w14:textId="77777777" w:rsidR="00D170BF" w:rsidRPr="00D170BF" w:rsidRDefault="00D170BF" w:rsidP="00D170BF">
            <w:pPr>
              <w:rPr>
                <w:color w:val="000000"/>
                <w:sz w:val="18"/>
                <w:szCs w:val="18"/>
                <w:lang w:val="es-AR" w:eastAsia="es-AR"/>
              </w:rPr>
            </w:pPr>
            <w:r w:rsidRPr="00D170BF">
              <w:rPr>
                <w:color w:val="000000"/>
                <w:sz w:val="18"/>
                <w:szCs w:val="18"/>
                <w:lang w:val="es-AR" w:eastAsia="es-AR"/>
              </w:rPr>
              <w:t>Alumnos cursantes</w:t>
            </w:r>
          </w:p>
        </w:tc>
        <w:tc>
          <w:tcPr>
            <w:tcW w:w="1169" w:type="dxa"/>
            <w:shd w:val="clear" w:color="auto" w:fill="auto"/>
            <w:noWrap/>
            <w:vAlign w:val="bottom"/>
            <w:hideMark/>
          </w:tcPr>
          <w:p w14:paraId="473D0894" w14:textId="77777777" w:rsidR="00D170BF" w:rsidRPr="00D170BF" w:rsidRDefault="00D170BF" w:rsidP="00B33E11">
            <w:pPr>
              <w:jc w:val="center"/>
              <w:rPr>
                <w:color w:val="000000"/>
                <w:sz w:val="18"/>
                <w:szCs w:val="18"/>
                <w:lang w:val="es-AR" w:eastAsia="es-AR"/>
              </w:rPr>
            </w:pPr>
            <w:r w:rsidRPr="00D170BF">
              <w:rPr>
                <w:color w:val="000000"/>
                <w:sz w:val="18"/>
                <w:szCs w:val="18"/>
                <w:lang w:val="es-AR" w:eastAsia="es-AR"/>
              </w:rPr>
              <w:t>112</w:t>
            </w:r>
          </w:p>
        </w:tc>
        <w:tc>
          <w:tcPr>
            <w:tcW w:w="1170" w:type="dxa"/>
            <w:shd w:val="clear" w:color="auto" w:fill="auto"/>
            <w:noWrap/>
            <w:vAlign w:val="bottom"/>
            <w:hideMark/>
          </w:tcPr>
          <w:p w14:paraId="0B7EE831" w14:textId="77777777" w:rsidR="00D170BF" w:rsidRPr="00D170BF" w:rsidRDefault="00D170BF" w:rsidP="00B33E11">
            <w:pPr>
              <w:jc w:val="center"/>
              <w:rPr>
                <w:color w:val="000000"/>
                <w:sz w:val="18"/>
                <w:szCs w:val="18"/>
                <w:lang w:val="es-AR" w:eastAsia="es-AR"/>
              </w:rPr>
            </w:pPr>
            <w:r w:rsidRPr="00D170BF">
              <w:rPr>
                <w:color w:val="000000"/>
                <w:sz w:val="18"/>
                <w:szCs w:val="18"/>
                <w:lang w:val="es-AR" w:eastAsia="es-AR"/>
              </w:rPr>
              <w:t>106</w:t>
            </w:r>
          </w:p>
        </w:tc>
        <w:tc>
          <w:tcPr>
            <w:tcW w:w="1169" w:type="dxa"/>
            <w:shd w:val="clear" w:color="auto" w:fill="auto"/>
            <w:noWrap/>
            <w:vAlign w:val="bottom"/>
            <w:hideMark/>
          </w:tcPr>
          <w:p w14:paraId="1E9E4BC9" w14:textId="77777777" w:rsidR="00D170BF" w:rsidRPr="00D170BF" w:rsidRDefault="00D170BF" w:rsidP="00B33E11">
            <w:pPr>
              <w:jc w:val="center"/>
              <w:rPr>
                <w:color w:val="000000"/>
                <w:sz w:val="18"/>
                <w:szCs w:val="18"/>
                <w:lang w:val="es-AR" w:eastAsia="es-AR"/>
              </w:rPr>
            </w:pPr>
            <w:r w:rsidRPr="00D170BF">
              <w:rPr>
                <w:color w:val="000000"/>
                <w:sz w:val="18"/>
                <w:szCs w:val="18"/>
                <w:lang w:val="es-AR" w:eastAsia="es-AR"/>
              </w:rPr>
              <w:t>138</w:t>
            </w:r>
          </w:p>
        </w:tc>
        <w:tc>
          <w:tcPr>
            <w:tcW w:w="1170" w:type="dxa"/>
            <w:shd w:val="clear" w:color="auto" w:fill="auto"/>
            <w:noWrap/>
            <w:vAlign w:val="bottom"/>
            <w:hideMark/>
          </w:tcPr>
          <w:p w14:paraId="39CE2966" w14:textId="77777777" w:rsidR="00D170BF" w:rsidRPr="00D170BF" w:rsidRDefault="00D170BF" w:rsidP="00B33E11">
            <w:pPr>
              <w:jc w:val="center"/>
              <w:rPr>
                <w:color w:val="000000"/>
                <w:sz w:val="18"/>
                <w:szCs w:val="18"/>
                <w:lang w:val="es-AR" w:eastAsia="es-AR"/>
              </w:rPr>
            </w:pPr>
            <w:r w:rsidRPr="00D170BF">
              <w:rPr>
                <w:color w:val="000000"/>
                <w:sz w:val="18"/>
                <w:szCs w:val="18"/>
                <w:lang w:val="es-AR" w:eastAsia="es-AR"/>
              </w:rPr>
              <w:t>164</w:t>
            </w:r>
          </w:p>
        </w:tc>
      </w:tr>
      <w:tr w:rsidR="00D170BF" w:rsidRPr="00D170BF" w14:paraId="2AD31C14" w14:textId="77777777" w:rsidTr="00B33E11">
        <w:trPr>
          <w:trHeight w:val="435"/>
        </w:trPr>
        <w:tc>
          <w:tcPr>
            <w:tcW w:w="4668" w:type="dxa"/>
            <w:shd w:val="clear" w:color="auto" w:fill="D9D9D9" w:themeFill="background1" w:themeFillShade="D9"/>
            <w:noWrap/>
            <w:vAlign w:val="bottom"/>
            <w:hideMark/>
          </w:tcPr>
          <w:p w14:paraId="4E09FFB6" w14:textId="77777777" w:rsidR="00D170BF" w:rsidRPr="00D170BF" w:rsidRDefault="00D170BF" w:rsidP="00D170BF">
            <w:pPr>
              <w:rPr>
                <w:color w:val="000000"/>
                <w:sz w:val="18"/>
                <w:szCs w:val="18"/>
                <w:lang w:val="es-AR" w:eastAsia="es-AR"/>
              </w:rPr>
            </w:pPr>
            <w:r w:rsidRPr="00D170BF">
              <w:rPr>
                <w:color w:val="000000"/>
                <w:sz w:val="18"/>
                <w:szCs w:val="18"/>
                <w:lang w:val="es-AR" w:eastAsia="es-AR"/>
              </w:rPr>
              <w:t>Alumnos que obtienen la regularidad</w:t>
            </w:r>
          </w:p>
        </w:tc>
        <w:tc>
          <w:tcPr>
            <w:tcW w:w="1169" w:type="dxa"/>
            <w:shd w:val="clear" w:color="auto" w:fill="auto"/>
            <w:noWrap/>
            <w:vAlign w:val="bottom"/>
            <w:hideMark/>
          </w:tcPr>
          <w:p w14:paraId="70A3BBC3" w14:textId="77777777" w:rsidR="00D170BF" w:rsidRPr="00D170BF" w:rsidRDefault="00D170BF" w:rsidP="00B33E11">
            <w:pPr>
              <w:jc w:val="center"/>
              <w:rPr>
                <w:color w:val="000000"/>
                <w:sz w:val="18"/>
                <w:szCs w:val="18"/>
                <w:lang w:val="es-AR" w:eastAsia="es-AR"/>
              </w:rPr>
            </w:pPr>
            <w:r w:rsidRPr="00D170BF">
              <w:rPr>
                <w:color w:val="000000"/>
                <w:sz w:val="18"/>
                <w:szCs w:val="18"/>
                <w:lang w:val="es-AR" w:eastAsia="es-AR"/>
              </w:rPr>
              <w:t>62,50%</w:t>
            </w:r>
          </w:p>
        </w:tc>
        <w:tc>
          <w:tcPr>
            <w:tcW w:w="1170" w:type="dxa"/>
            <w:shd w:val="clear" w:color="auto" w:fill="auto"/>
            <w:noWrap/>
            <w:vAlign w:val="bottom"/>
            <w:hideMark/>
          </w:tcPr>
          <w:p w14:paraId="54670F17" w14:textId="77777777" w:rsidR="00D170BF" w:rsidRPr="00D170BF" w:rsidRDefault="00D170BF" w:rsidP="00B33E11">
            <w:pPr>
              <w:jc w:val="center"/>
              <w:rPr>
                <w:color w:val="000000"/>
                <w:sz w:val="18"/>
                <w:szCs w:val="18"/>
                <w:lang w:val="es-AR" w:eastAsia="es-AR"/>
              </w:rPr>
            </w:pPr>
            <w:r w:rsidRPr="00D170BF">
              <w:rPr>
                <w:color w:val="000000"/>
                <w:sz w:val="18"/>
                <w:szCs w:val="18"/>
                <w:lang w:val="es-AR" w:eastAsia="es-AR"/>
              </w:rPr>
              <w:t>59,43%</w:t>
            </w:r>
          </w:p>
        </w:tc>
        <w:tc>
          <w:tcPr>
            <w:tcW w:w="1169" w:type="dxa"/>
            <w:shd w:val="clear" w:color="auto" w:fill="auto"/>
            <w:noWrap/>
            <w:vAlign w:val="bottom"/>
            <w:hideMark/>
          </w:tcPr>
          <w:p w14:paraId="10BACAE3" w14:textId="77777777" w:rsidR="00D170BF" w:rsidRPr="00D170BF" w:rsidRDefault="00D170BF" w:rsidP="00B33E11">
            <w:pPr>
              <w:jc w:val="center"/>
              <w:rPr>
                <w:color w:val="000000"/>
                <w:sz w:val="18"/>
                <w:szCs w:val="18"/>
                <w:lang w:val="es-AR" w:eastAsia="es-AR"/>
              </w:rPr>
            </w:pPr>
            <w:r w:rsidRPr="00D170BF">
              <w:rPr>
                <w:color w:val="000000"/>
                <w:sz w:val="18"/>
                <w:szCs w:val="18"/>
                <w:lang w:val="es-AR" w:eastAsia="es-AR"/>
              </w:rPr>
              <w:t>64,49%</w:t>
            </w:r>
          </w:p>
        </w:tc>
        <w:tc>
          <w:tcPr>
            <w:tcW w:w="1170" w:type="dxa"/>
            <w:shd w:val="clear" w:color="auto" w:fill="auto"/>
            <w:noWrap/>
            <w:vAlign w:val="bottom"/>
            <w:hideMark/>
          </w:tcPr>
          <w:p w14:paraId="69061EA9" w14:textId="77777777" w:rsidR="00D170BF" w:rsidRPr="00D170BF" w:rsidRDefault="00D170BF" w:rsidP="00B33E11">
            <w:pPr>
              <w:jc w:val="center"/>
              <w:rPr>
                <w:color w:val="000000"/>
                <w:sz w:val="18"/>
                <w:szCs w:val="18"/>
                <w:lang w:val="es-AR" w:eastAsia="es-AR"/>
              </w:rPr>
            </w:pPr>
            <w:r w:rsidRPr="00D170BF">
              <w:rPr>
                <w:color w:val="000000"/>
                <w:sz w:val="18"/>
                <w:szCs w:val="18"/>
                <w:lang w:val="es-AR" w:eastAsia="es-AR"/>
              </w:rPr>
              <w:t>47,56%</w:t>
            </w:r>
          </w:p>
        </w:tc>
      </w:tr>
      <w:tr w:rsidR="00D170BF" w:rsidRPr="00D170BF" w14:paraId="67198B88" w14:textId="77777777" w:rsidTr="00B33E11">
        <w:trPr>
          <w:trHeight w:val="435"/>
        </w:trPr>
        <w:tc>
          <w:tcPr>
            <w:tcW w:w="4668" w:type="dxa"/>
            <w:shd w:val="clear" w:color="auto" w:fill="D9D9D9" w:themeFill="background1" w:themeFillShade="D9"/>
            <w:noWrap/>
            <w:vAlign w:val="bottom"/>
            <w:hideMark/>
          </w:tcPr>
          <w:p w14:paraId="7FE8E734" w14:textId="77777777" w:rsidR="00D170BF" w:rsidRPr="00D170BF" w:rsidRDefault="00D170BF" w:rsidP="00D170BF">
            <w:pPr>
              <w:rPr>
                <w:color w:val="000000"/>
                <w:sz w:val="18"/>
                <w:szCs w:val="18"/>
                <w:lang w:val="es-AR" w:eastAsia="es-AR"/>
              </w:rPr>
            </w:pPr>
            <w:r w:rsidRPr="00D170BF">
              <w:rPr>
                <w:color w:val="000000"/>
                <w:sz w:val="18"/>
                <w:szCs w:val="18"/>
                <w:lang w:val="es-AR" w:eastAsia="es-AR"/>
              </w:rPr>
              <w:t>Alumnos Regulares Directos</w:t>
            </w:r>
          </w:p>
        </w:tc>
        <w:tc>
          <w:tcPr>
            <w:tcW w:w="1169" w:type="dxa"/>
            <w:shd w:val="clear" w:color="auto" w:fill="auto"/>
            <w:noWrap/>
            <w:vAlign w:val="bottom"/>
            <w:hideMark/>
          </w:tcPr>
          <w:p w14:paraId="24FAC215" w14:textId="07411DA0" w:rsidR="00D170BF" w:rsidRPr="00D170BF" w:rsidRDefault="00737933" w:rsidP="00B33E11">
            <w:pPr>
              <w:jc w:val="center"/>
              <w:rPr>
                <w:color w:val="000000"/>
                <w:sz w:val="18"/>
                <w:szCs w:val="18"/>
                <w:lang w:val="es-AR" w:eastAsia="es-AR"/>
              </w:rPr>
            </w:pPr>
            <w:r>
              <w:rPr>
                <w:color w:val="000000"/>
                <w:sz w:val="18"/>
                <w:szCs w:val="18"/>
                <w:lang w:val="es-AR" w:eastAsia="es-AR"/>
              </w:rPr>
              <w:t>71,43</w:t>
            </w:r>
            <w:r w:rsidR="00D170BF" w:rsidRPr="00D170BF">
              <w:rPr>
                <w:color w:val="000000"/>
                <w:sz w:val="18"/>
                <w:szCs w:val="18"/>
                <w:lang w:val="es-AR" w:eastAsia="es-AR"/>
              </w:rPr>
              <w:t>%</w:t>
            </w:r>
          </w:p>
        </w:tc>
        <w:tc>
          <w:tcPr>
            <w:tcW w:w="1170" w:type="dxa"/>
            <w:shd w:val="clear" w:color="auto" w:fill="auto"/>
            <w:noWrap/>
            <w:vAlign w:val="bottom"/>
            <w:hideMark/>
          </w:tcPr>
          <w:p w14:paraId="42F473C6" w14:textId="77777777" w:rsidR="00D170BF" w:rsidRPr="00D170BF" w:rsidRDefault="00D170BF" w:rsidP="00B33E11">
            <w:pPr>
              <w:jc w:val="center"/>
              <w:rPr>
                <w:color w:val="000000"/>
                <w:sz w:val="18"/>
                <w:szCs w:val="18"/>
                <w:lang w:val="es-AR" w:eastAsia="es-AR"/>
              </w:rPr>
            </w:pPr>
            <w:r w:rsidRPr="00D170BF">
              <w:rPr>
                <w:color w:val="000000"/>
                <w:sz w:val="18"/>
                <w:szCs w:val="18"/>
                <w:lang w:val="es-AR" w:eastAsia="es-AR"/>
              </w:rPr>
              <w:t>75%</w:t>
            </w:r>
          </w:p>
        </w:tc>
        <w:tc>
          <w:tcPr>
            <w:tcW w:w="1169" w:type="dxa"/>
            <w:shd w:val="clear" w:color="auto" w:fill="auto"/>
            <w:noWrap/>
            <w:vAlign w:val="bottom"/>
            <w:hideMark/>
          </w:tcPr>
          <w:p w14:paraId="370A4C18" w14:textId="77777777" w:rsidR="00D170BF" w:rsidRPr="00D170BF" w:rsidRDefault="00D170BF" w:rsidP="00B33E11">
            <w:pPr>
              <w:jc w:val="center"/>
              <w:rPr>
                <w:color w:val="000000"/>
                <w:sz w:val="18"/>
                <w:szCs w:val="18"/>
                <w:lang w:val="es-AR" w:eastAsia="es-AR"/>
              </w:rPr>
            </w:pPr>
            <w:r w:rsidRPr="00D170BF">
              <w:rPr>
                <w:color w:val="000000"/>
                <w:sz w:val="18"/>
                <w:szCs w:val="18"/>
                <w:lang w:val="es-AR" w:eastAsia="es-AR"/>
              </w:rPr>
              <w:t>23,60%</w:t>
            </w:r>
          </w:p>
        </w:tc>
        <w:tc>
          <w:tcPr>
            <w:tcW w:w="1170" w:type="dxa"/>
            <w:shd w:val="clear" w:color="auto" w:fill="auto"/>
            <w:noWrap/>
            <w:vAlign w:val="bottom"/>
            <w:hideMark/>
          </w:tcPr>
          <w:p w14:paraId="21161468" w14:textId="77777777" w:rsidR="00D170BF" w:rsidRPr="00D170BF" w:rsidRDefault="00D170BF" w:rsidP="00B33E11">
            <w:pPr>
              <w:jc w:val="center"/>
              <w:rPr>
                <w:color w:val="000000"/>
                <w:sz w:val="18"/>
                <w:szCs w:val="18"/>
                <w:lang w:val="es-AR" w:eastAsia="es-AR"/>
              </w:rPr>
            </w:pPr>
            <w:r w:rsidRPr="00D170BF">
              <w:rPr>
                <w:color w:val="000000"/>
                <w:sz w:val="18"/>
                <w:szCs w:val="18"/>
                <w:lang w:val="es-AR" w:eastAsia="es-AR"/>
              </w:rPr>
              <w:t>62,82%</w:t>
            </w:r>
          </w:p>
        </w:tc>
      </w:tr>
      <w:tr w:rsidR="00D170BF" w:rsidRPr="00D170BF" w14:paraId="5ACA9A07" w14:textId="77777777" w:rsidTr="00B33E11">
        <w:trPr>
          <w:trHeight w:val="435"/>
        </w:trPr>
        <w:tc>
          <w:tcPr>
            <w:tcW w:w="4668" w:type="dxa"/>
            <w:shd w:val="clear" w:color="auto" w:fill="D9D9D9" w:themeFill="background1" w:themeFillShade="D9"/>
            <w:noWrap/>
            <w:vAlign w:val="bottom"/>
            <w:hideMark/>
          </w:tcPr>
          <w:p w14:paraId="5A0AD19F" w14:textId="77777777" w:rsidR="00D170BF" w:rsidRPr="00D170BF" w:rsidRDefault="00D170BF" w:rsidP="00D170BF">
            <w:pPr>
              <w:rPr>
                <w:color w:val="000000"/>
                <w:sz w:val="18"/>
                <w:szCs w:val="18"/>
                <w:lang w:val="es-AR" w:eastAsia="es-AR"/>
              </w:rPr>
            </w:pPr>
            <w:r w:rsidRPr="00D170BF">
              <w:rPr>
                <w:color w:val="000000"/>
                <w:sz w:val="18"/>
                <w:szCs w:val="18"/>
                <w:lang w:val="es-AR" w:eastAsia="es-AR"/>
              </w:rPr>
              <w:t>Alumnos Regulares con Recuperatorio</w:t>
            </w:r>
          </w:p>
        </w:tc>
        <w:tc>
          <w:tcPr>
            <w:tcW w:w="1169" w:type="dxa"/>
            <w:shd w:val="clear" w:color="auto" w:fill="auto"/>
            <w:noWrap/>
            <w:vAlign w:val="bottom"/>
            <w:hideMark/>
          </w:tcPr>
          <w:p w14:paraId="6C18AC35" w14:textId="2327D35F" w:rsidR="00D170BF" w:rsidRPr="00D170BF" w:rsidRDefault="00737933" w:rsidP="00B33E11">
            <w:pPr>
              <w:jc w:val="center"/>
              <w:rPr>
                <w:color w:val="000000"/>
                <w:sz w:val="18"/>
                <w:szCs w:val="18"/>
                <w:lang w:val="es-AR" w:eastAsia="es-AR"/>
              </w:rPr>
            </w:pPr>
            <w:r>
              <w:rPr>
                <w:color w:val="000000"/>
                <w:sz w:val="18"/>
                <w:szCs w:val="18"/>
                <w:lang w:val="es-AR" w:eastAsia="es-AR"/>
              </w:rPr>
              <w:t>28,57</w:t>
            </w:r>
            <w:r w:rsidR="00D170BF" w:rsidRPr="00D170BF">
              <w:rPr>
                <w:color w:val="000000"/>
                <w:sz w:val="18"/>
                <w:szCs w:val="18"/>
                <w:lang w:val="es-AR" w:eastAsia="es-AR"/>
              </w:rPr>
              <w:t>%</w:t>
            </w:r>
          </w:p>
        </w:tc>
        <w:tc>
          <w:tcPr>
            <w:tcW w:w="1170" w:type="dxa"/>
            <w:shd w:val="clear" w:color="auto" w:fill="auto"/>
            <w:noWrap/>
            <w:vAlign w:val="bottom"/>
            <w:hideMark/>
          </w:tcPr>
          <w:p w14:paraId="0993593B" w14:textId="77777777" w:rsidR="00D170BF" w:rsidRPr="00D170BF" w:rsidRDefault="00D170BF" w:rsidP="00B33E11">
            <w:pPr>
              <w:jc w:val="center"/>
              <w:rPr>
                <w:color w:val="000000"/>
                <w:sz w:val="18"/>
                <w:szCs w:val="18"/>
                <w:lang w:val="es-AR" w:eastAsia="es-AR"/>
              </w:rPr>
            </w:pPr>
            <w:r w:rsidRPr="00D170BF">
              <w:rPr>
                <w:color w:val="000000"/>
                <w:sz w:val="18"/>
                <w:szCs w:val="18"/>
                <w:lang w:val="es-AR" w:eastAsia="es-AR"/>
              </w:rPr>
              <w:t>25,00%</w:t>
            </w:r>
          </w:p>
        </w:tc>
        <w:tc>
          <w:tcPr>
            <w:tcW w:w="1169" w:type="dxa"/>
            <w:shd w:val="clear" w:color="auto" w:fill="auto"/>
            <w:noWrap/>
            <w:vAlign w:val="bottom"/>
            <w:hideMark/>
          </w:tcPr>
          <w:p w14:paraId="74D2D62A" w14:textId="77777777" w:rsidR="00D170BF" w:rsidRPr="00D170BF" w:rsidRDefault="00D170BF" w:rsidP="00B33E11">
            <w:pPr>
              <w:jc w:val="center"/>
              <w:rPr>
                <w:color w:val="000000"/>
                <w:sz w:val="18"/>
                <w:szCs w:val="18"/>
                <w:lang w:val="es-AR" w:eastAsia="es-AR"/>
              </w:rPr>
            </w:pPr>
            <w:r w:rsidRPr="00D170BF">
              <w:rPr>
                <w:color w:val="000000"/>
                <w:sz w:val="18"/>
                <w:szCs w:val="18"/>
                <w:lang w:val="es-AR" w:eastAsia="es-AR"/>
              </w:rPr>
              <w:t>76,40%</w:t>
            </w:r>
          </w:p>
        </w:tc>
        <w:tc>
          <w:tcPr>
            <w:tcW w:w="1170" w:type="dxa"/>
            <w:shd w:val="clear" w:color="auto" w:fill="auto"/>
            <w:noWrap/>
            <w:vAlign w:val="bottom"/>
            <w:hideMark/>
          </w:tcPr>
          <w:p w14:paraId="576F1021" w14:textId="77777777" w:rsidR="00D170BF" w:rsidRPr="00D170BF" w:rsidRDefault="00D170BF" w:rsidP="00B33E11">
            <w:pPr>
              <w:jc w:val="center"/>
              <w:rPr>
                <w:color w:val="000000"/>
                <w:sz w:val="18"/>
                <w:szCs w:val="18"/>
                <w:lang w:val="es-AR" w:eastAsia="es-AR"/>
              </w:rPr>
            </w:pPr>
            <w:r w:rsidRPr="00D170BF">
              <w:rPr>
                <w:color w:val="000000"/>
                <w:sz w:val="18"/>
                <w:szCs w:val="18"/>
                <w:lang w:val="es-AR" w:eastAsia="es-AR"/>
              </w:rPr>
              <w:t>37,18%</w:t>
            </w:r>
          </w:p>
        </w:tc>
      </w:tr>
      <w:tr w:rsidR="00D170BF" w:rsidRPr="00D170BF" w14:paraId="036D5C1E" w14:textId="77777777" w:rsidTr="00B33E11">
        <w:trPr>
          <w:trHeight w:val="435"/>
        </w:trPr>
        <w:tc>
          <w:tcPr>
            <w:tcW w:w="4668" w:type="dxa"/>
            <w:shd w:val="clear" w:color="auto" w:fill="D9D9D9" w:themeFill="background1" w:themeFillShade="D9"/>
            <w:noWrap/>
            <w:vAlign w:val="bottom"/>
            <w:hideMark/>
          </w:tcPr>
          <w:p w14:paraId="2983E8CB" w14:textId="77777777" w:rsidR="00D170BF" w:rsidRPr="00D170BF" w:rsidRDefault="00D170BF" w:rsidP="00D170BF">
            <w:pPr>
              <w:rPr>
                <w:color w:val="000000"/>
                <w:sz w:val="18"/>
                <w:szCs w:val="18"/>
                <w:lang w:val="es-AR" w:eastAsia="es-AR"/>
              </w:rPr>
            </w:pPr>
            <w:r w:rsidRPr="00D170BF">
              <w:rPr>
                <w:color w:val="000000"/>
                <w:sz w:val="18"/>
                <w:szCs w:val="18"/>
                <w:lang w:val="es-AR" w:eastAsia="es-AR"/>
              </w:rPr>
              <w:t>Nota promedio de regularidad</w:t>
            </w:r>
          </w:p>
        </w:tc>
        <w:tc>
          <w:tcPr>
            <w:tcW w:w="1169" w:type="dxa"/>
            <w:shd w:val="clear" w:color="auto" w:fill="auto"/>
            <w:noWrap/>
            <w:vAlign w:val="bottom"/>
            <w:hideMark/>
          </w:tcPr>
          <w:p w14:paraId="44867CF3" w14:textId="77777777" w:rsidR="00D170BF" w:rsidRPr="00D170BF" w:rsidRDefault="00D170BF" w:rsidP="00B33E11">
            <w:pPr>
              <w:jc w:val="center"/>
              <w:rPr>
                <w:color w:val="000000"/>
                <w:sz w:val="18"/>
                <w:szCs w:val="18"/>
                <w:lang w:val="es-AR" w:eastAsia="es-AR"/>
              </w:rPr>
            </w:pPr>
            <w:r w:rsidRPr="00D170BF">
              <w:rPr>
                <w:color w:val="000000"/>
                <w:sz w:val="18"/>
                <w:szCs w:val="18"/>
                <w:lang w:val="es-AR" w:eastAsia="es-AR"/>
              </w:rPr>
              <w:t>6,7</w:t>
            </w:r>
          </w:p>
        </w:tc>
        <w:tc>
          <w:tcPr>
            <w:tcW w:w="1170" w:type="dxa"/>
            <w:shd w:val="clear" w:color="auto" w:fill="auto"/>
            <w:noWrap/>
            <w:vAlign w:val="bottom"/>
            <w:hideMark/>
          </w:tcPr>
          <w:p w14:paraId="767461DF" w14:textId="77777777" w:rsidR="00D170BF" w:rsidRPr="00D170BF" w:rsidRDefault="00D170BF" w:rsidP="00B33E11">
            <w:pPr>
              <w:jc w:val="center"/>
              <w:rPr>
                <w:color w:val="000000"/>
                <w:sz w:val="18"/>
                <w:szCs w:val="18"/>
                <w:lang w:val="es-AR" w:eastAsia="es-AR"/>
              </w:rPr>
            </w:pPr>
            <w:r w:rsidRPr="00D170BF">
              <w:rPr>
                <w:color w:val="000000"/>
                <w:sz w:val="18"/>
                <w:szCs w:val="18"/>
                <w:lang w:val="es-AR" w:eastAsia="es-AR"/>
              </w:rPr>
              <w:t>6,48</w:t>
            </w:r>
          </w:p>
        </w:tc>
        <w:tc>
          <w:tcPr>
            <w:tcW w:w="1169" w:type="dxa"/>
            <w:shd w:val="clear" w:color="auto" w:fill="auto"/>
            <w:noWrap/>
            <w:vAlign w:val="bottom"/>
            <w:hideMark/>
          </w:tcPr>
          <w:p w14:paraId="69DBA1EB" w14:textId="77777777" w:rsidR="00D170BF" w:rsidRPr="00D170BF" w:rsidRDefault="00D170BF" w:rsidP="00B33E11">
            <w:pPr>
              <w:jc w:val="center"/>
              <w:rPr>
                <w:color w:val="000000"/>
                <w:sz w:val="18"/>
                <w:szCs w:val="18"/>
                <w:lang w:val="es-AR" w:eastAsia="es-AR"/>
              </w:rPr>
            </w:pPr>
            <w:r w:rsidRPr="00D170BF">
              <w:rPr>
                <w:color w:val="000000"/>
                <w:sz w:val="18"/>
                <w:szCs w:val="18"/>
                <w:lang w:val="es-AR" w:eastAsia="es-AR"/>
              </w:rPr>
              <w:t>7,25</w:t>
            </w:r>
          </w:p>
        </w:tc>
        <w:tc>
          <w:tcPr>
            <w:tcW w:w="1170" w:type="dxa"/>
            <w:shd w:val="clear" w:color="auto" w:fill="auto"/>
            <w:noWrap/>
            <w:vAlign w:val="bottom"/>
            <w:hideMark/>
          </w:tcPr>
          <w:p w14:paraId="29DFA298" w14:textId="77777777" w:rsidR="00D170BF" w:rsidRPr="00D170BF" w:rsidRDefault="00D170BF" w:rsidP="00B33E11">
            <w:pPr>
              <w:jc w:val="center"/>
              <w:rPr>
                <w:color w:val="000000"/>
                <w:sz w:val="18"/>
                <w:szCs w:val="18"/>
                <w:lang w:val="es-AR" w:eastAsia="es-AR"/>
              </w:rPr>
            </w:pPr>
            <w:r w:rsidRPr="00D170BF">
              <w:rPr>
                <w:color w:val="000000"/>
                <w:sz w:val="18"/>
                <w:szCs w:val="18"/>
                <w:lang w:val="es-AR" w:eastAsia="es-AR"/>
              </w:rPr>
              <w:t>5,41</w:t>
            </w:r>
          </w:p>
        </w:tc>
      </w:tr>
      <w:tr w:rsidR="00D170BF" w:rsidRPr="00D170BF" w14:paraId="47D13CEB" w14:textId="77777777" w:rsidTr="00B33E11">
        <w:trPr>
          <w:trHeight w:val="435"/>
        </w:trPr>
        <w:tc>
          <w:tcPr>
            <w:tcW w:w="4668" w:type="dxa"/>
            <w:shd w:val="clear" w:color="auto" w:fill="D9D9D9" w:themeFill="background1" w:themeFillShade="D9"/>
            <w:noWrap/>
            <w:vAlign w:val="bottom"/>
            <w:hideMark/>
          </w:tcPr>
          <w:p w14:paraId="15739589" w14:textId="2F7DCFB0" w:rsidR="00D170BF" w:rsidRPr="00D170BF" w:rsidRDefault="00D170BF" w:rsidP="00D170BF">
            <w:pPr>
              <w:rPr>
                <w:color w:val="000000"/>
                <w:sz w:val="18"/>
                <w:szCs w:val="18"/>
                <w:lang w:val="es-AR" w:eastAsia="es-AR"/>
              </w:rPr>
            </w:pPr>
            <w:r w:rsidRPr="00D170BF">
              <w:rPr>
                <w:color w:val="000000"/>
                <w:sz w:val="18"/>
                <w:szCs w:val="18"/>
                <w:lang w:val="es-AR" w:eastAsia="es-AR"/>
              </w:rPr>
              <w:t>Alumnos Libres</w:t>
            </w:r>
          </w:p>
        </w:tc>
        <w:tc>
          <w:tcPr>
            <w:tcW w:w="1169" w:type="dxa"/>
            <w:shd w:val="clear" w:color="auto" w:fill="auto"/>
            <w:noWrap/>
            <w:vAlign w:val="bottom"/>
            <w:hideMark/>
          </w:tcPr>
          <w:p w14:paraId="0E3C69D0" w14:textId="77777777" w:rsidR="00D170BF" w:rsidRPr="00D170BF" w:rsidRDefault="00D170BF" w:rsidP="00B33E11">
            <w:pPr>
              <w:jc w:val="center"/>
              <w:rPr>
                <w:color w:val="000000"/>
                <w:sz w:val="18"/>
                <w:szCs w:val="18"/>
                <w:lang w:val="es-AR" w:eastAsia="es-AR"/>
              </w:rPr>
            </w:pPr>
            <w:r w:rsidRPr="00D170BF">
              <w:rPr>
                <w:color w:val="000000"/>
                <w:sz w:val="18"/>
                <w:szCs w:val="18"/>
                <w:lang w:val="es-AR" w:eastAsia="es-AR"/>
              </w:rPr>
              <w:t>37,50%</w:t>
            </w:r>
          </w:p>
        </w:tc>
        <w:tc>
          <w:tcPr>
            <w:tcW w:w="1170" w:type="dxa"/>
            <w:shd w:val="clear" w:color="auto" w:fill="auto"/>
            <w:noWrap/>
            <w:vAlign w:val="bottom"/>
            <w:hideMark/>
          </w:tcPr>
          <w:p w14:paraId="3EB3F727" w14:textId="77777777" w:rsidR="00D170BF" w:rsidRPr="00D170BF" w:rsidRDefault="00D170BF" w:rsidP="00B33E11">
            <w:pPr>
              <w:jc w:val="center"/>
              <w:rPr>
                <w:color w:val="000000"/>
                <w:sz w:val="18"/>
                <w:szCs w:val="18"/>
                <w:lang w:val="es-AR" w:eastAsia="es-AR"/>
              </w:rPr>
            </w:pPr>
            <w:r w:rsidRPr="00D170BF">
              <w:rPr>
                <w:color w:val="000000"/>
                <w:sz w:val="18"/>
                <w:szCs w:val="18"/>
                <w:lang w:val="es-AR" w:eastAsia="es-AR"/>
              </w:rPr>
              <w:t>40,57%</w:t>
            </w:r>
          </w:p>
        </w:tc>
        <w:tc>
          <w:tcPr>
            <w:tcW w:w="1169" w:type="dxa"/>
            <w:shd w:val="clear" w:color="auto" w:fill="auto"/>
            <w:noWrap/>
            <w:vAlign w:val="bottom"/>
            <w:hideMark/>
          </w:tcPr>
          <w:p w14:paraId="191D5B8D" w14:textId="77777777" w:rsidR="00D170BF" w:rsidRPr="00D170BF" w:rsidRDefault="00D170BF" w:rsidP="00B33E11">
            <w:pPr>
              <w:jc w:val="center"/>
              <w:rPr>
                <w:color w:val="000000"/>
                <w:sz w:val="18"/>
                <w:szCs w:val="18"/>
                <w:lang w:val="es-AR" w:eastAsia="es-AR"/>
              </w:rPr>
            </w:pPr>
            <w:r w:rsidRPr="00D170BF">
              <w:rPr>
                <w:color w:val="000000"/>
                <w:sz w:val="18"/>
                <w:szCs w:val="18"/>
                <w:lang w:val="es-AR" w:eastAsia="es-AR"/>
              </w:rPr>
              <w:t>35,51%</w:t>
            </w:r>
          </w:p>
        </w:tc>
        <w:tc>
          <w:tcPr>
            <w:tcW w:w="1170" w:type="dxa"/>
            <w:shd w:val="clear" w:color="auto" w:fill="auto"/>
            <w:noWrap/>
            <w:vAlign w:val="bottom"/>
            <w:hideMark/>
          </w:tcPr>
          <w:p w14:paraId="164DF589" w14:textId="77777777" w:rsidR="00D170BF" w:rsidRPr="00D170BF" w:rsidRDefault="00D170BF" w:rsidP="00B33E11">
            <w:pPr>
              <w:jc w:val="center"/>
              <w:rPr>
                <w:color w:val="000000"/>
                <w:sz w:val="18"/>
                <w:szCs w:val="18"/>
                <w:lang w:val="es-AR" w:eastAsia="es-AR"/>
              </w:rPr>
            </w:pPr>
            <w:r w:rsidRPr="00D170BF">
              <w:rPr>
                <w:color w:val="000000"/>
                <w:sz w:val="18"/>
                <w:szCs w:val="18"/>
                <w:lang w:val="es-AR" w:eastAsia="es-AR"/>
              </w:rPr>
              <w:t>52,44%</w:t>
            </w:r>
          </w:p>
        </w:tc>
      </w:tr>
      <w:tr w:rsidR="00D170BF" w:rsidRPr="00D170BF" w14:paraId="04AADBCB" w14:textId="77777777" w:rsidTr="00B33E11">
        <w:trPr>
          <w:trHeight w:val="435"/>
        </w:trPr>
        <w:tc>
          <w:tcPr>
            <w:tcW w:w="4668" w:type="dxa"/>
            <w:shd w:val="clear" w:color="auto" w:fill="D9D9D9" w:themeFill="background1" w:themeFillShade="D9"/>
            <w:noWrap/>
            <w:vAlign w:val="bottom"/>
            <w:hideMark/>
          </w:tcPr>
          <w:p w14:paraId="411AED65" w14:textId="3CEB71E9" w:rsidR="00D170BF" w:rsidRPr="00D170BF" w:rsidRDefault="00D170BF" w:rsidP="00D170BF">
            <w:pPr>
              <w:rPr>
                <w:color w:val="000000"/>
                <w:sz w:val="18"/>
                <w:szCs w:val="18"/>
                <w:lang w:val="es-AR" w:eastAsia="es-AR"/>
              </w:rPr>
            </w:pPr>
            <w:r w:rsidRPr="00D170BF">
              <w:rPr>
                <w:color w:val="000000"/>
                <w:sz w:val="18"/>
                <w:szCs w:val="18"/>
                <w:lang w:val="es-AR" w:eastAsia="es-AR"/>
              </w:rPr>
              <w:t>Tasa de presentación en el 1º turno de examen</w:t>
            </w:r>
          </w:p>
        </w:tc>
        <w:tc>
          <w:tcPr>
            <w:tcW w:w="1169" w:type="dxa"/>
            <w:shd w:val="clear" w:color="auto" w:fill="auto"/>
            <w:noWrap/>
            <w:vAlign w:val="bottom"/>
            <w:hideMark/>
          </w:tcPr>
          <w:p w14:paraId="4112165B" w14:textId="77777777" w:rsidR="00D170BF" w:rsidRPr="00D170BF" w:rsidRDefault="00D170BF" w:rsidP="00B33E11">
            <w:pPr>
              <w:jc w:val="center"/>
              <w:rPr>
                <w:color w:val="000000"/>
                <w:sz w:val="18"/>
                <w:szCs w:val="18"/>
                <w:lang w:val="es-AR" w:eastAsia="es-AR"/>
              </w:rPr>
            </w:pPr>
            <w:r w:rsidRPr="00D170BF">
              <w:rPr>
                <w:color w:val="000000"/>
                <w:sz w:val="18"/>
                <w:szCs w:val="18"/>
                <w:lang w:val="es-AR" w:eastAsia="es-AR"/>
              </w:rPr>
              <w:t>60,00%</w:t>
            </w:r>
          </w:p>
        </w:tc>
        <w:tc>
          <w:tcPr>
            <w:tcW w:w="1170" w:type="dxa"/>
            <w:shd w:val="clear" w:color="auto" w:fill="auto"/>
            <w:noWrap/>
            <w:vAlign w:val="bottom"/>
            <w:hideMark/>
          </w:tcPr>
          <w:p w14:paraId="6DF072A7" w14:textId="77777777" w:rsidR="00D170BF" w:rsidRPr="00D170BF" w:rsidRDefault="00D170BF" w:rsidP="00B33E11">
            <w:pPr>
              <w:jc w:val="center"/>
              <w:rPr>
                <w:color w:val="000000"/>
                <w:sz w:val="18"/>
                <w:szCs w:val="18"/>
                <w:lang w:val="es-AR" w:eastAsia="es-AR"/>
              </w:rPr>
            </w:pPr>
            <w:r w:rsidRPr="00D170BF">
              <w:rPr>
                <w:color w:val="000000"/>
                <w:sz w:val="18"/>
                <w:szCs w:val="18"/>
                <w:lang w:val="es-AR" w:eastAsia="es-AR"/>
              </w:rPr>
              <w:t>60,32%</w:t>
            </w:r>
          </w:p>
        </w:tc>
        <w:tc>
          <w:tcPr>
            <w:tcW w:w="1169" w:type="dxa"/>
            <w:shd w:val="clear" w:color="auto" w:fill="auto"/>
            <w:noWrap/>
            <w:vAlign w:val="bottom"/>
            <w:hideMark/>
          </w:tcPr>
          <w:p w14:paraId="3C6B6974" w14:textId="77777777" w:rsidR="00D170BF" w:rsidRPr="00D170BF" w:rsidRDefault="00D170BF" w:rsidP="00B33E11">
            <w:pPr>
              <w:jc w:val="center"/>
              <w:rPr>
                <w:color w:val="000000"/>
                <w:sz w:val="18"/>
                <w:szCs w:val="18"/>
                <w:lang w:val="es-AR" w:eastAsia="es-AR"/>
              </w:rPr>
            </w:pPr>
            <w:r w:rsidRPr="00D170BF">
              <w:rPr>
                <w:color w:val="000000"/>
                <w:sz w:val="18"/>
                <w:szCs w:val="18"/>
                <w:lang w:val="es-AR" w:eastAsia="es-AR"/>
              </w:rPr>
              <w:t>11,24%</w:t>
            </w:r>
          </w:p>
        </w:tc>
        <w:tc>
          <w:tcPr>
            <w:tcW w:w="1170" w:type="dxa"/>
            <w:shd w:val="clear" w:color="auto" w:fill="auto"/>
            <w:noWrap/>
            <w:vAlign w:val="bottom"/>
            <w:hideMark/>
          </w:tcPr>
          <w:p w14:paraId="7FB9597C" w14:textId="77777777" w:rsidR="00D170BF" w:rsidRPr="00D170BF" w:rsidRDefault="00D170BF" w:rsidP="00B33E11">
            <w:pPr>
              <w:jc w:val="center"/>
              <w:rPr>
                <w:color w:val="000000"/>
                <w:sz w:val="18"/>
                <w:szCs w:val="18"/>
                <w:lang w:val="es-AR" w:eastAsia="es-AR"/>
              </w:rPr>
            </w:pPr>
            <w:r w:rsidRPr="00D170BF">
              <w:rPr>
                <w:color w:val="000000"/>
                <w:sz w:val="18"/>
                <w:szCs w:val="18"/>
                <w:lang w:val="es-AR" w:eastAsia="es-AR"/>
              </w:rPr>
              <w:t>39,74%</w:t>
            </w:r>
          </w:p>
        </w:tc>
      </w:tr>
      <w:tr w:rsidR="00D170BF" w:rsidRPr="00D170BF" w14:paraId="783F907F" w14:textId="77777777" w:rsidTr="00B33E11">
        <w:trPr>
          <w:trHeight w:val="435"/>
        </w:trPr>
        <w:tc>
          <w:tcPr>
            <w:tcW w:w="4668" w:type="dxa"/>
            <w:shd w:val="clear" w:color="auto" w:fill="D9D9D9" w:themeFill="background1" w:themeFillShade="D9"/>
            <w:noWrap/>
            <w:vAlign w:val="bottom"/>
            <w:hideMark/>
          </w:tcPr>
          <w:p w14:paraId="29BEA409" w14:textId="77777777" w:rsidR="00D170BF" w:rsidRPr="00D170BF" w:rsidRDefault="00D170BF" w:rsidP="00D170BF">
            <w:pPr>
              <w:rPr>
                <w:color w:val="000000"/>
                <w:sz w:val="18"/>
                <w:szCs w:val="18"/>
                <w:lang w:val="es-AR" w:eastAsia="es-AR"/>
              </w:rPr>
            </w:pPr>
            <w:r w:rsidRPr="00D170BF">
              <w:rPr>
                <w:color w:val="000000"/>
                <w:sz w:val="18"/>
                <w:szCs w:val="18"/>
                <w:lang w:val="es-AR" w:eastAsia="es-AR"/>
              </w:rPr>
              <w:lastRenderedPageBreak/>
              <w:t>Alumnos aprobados que se presentan en el 1º turno de examen</w:t>
            </w:r>
          </w:p>
        </w:tc>
        <w:tc>
          <w:tcPr>
            <w:tcW w:w="1169" w:type="dxa"/>
            <w:shd w:val="clear" w:color="auto" w:fill="auto"/>
            <w:noWrap/>
            <w:vAlign w:val="bottom"/>
            <w:hideMark/>
          </w:tcPr>
          <w:p w14:paraId="11A7A3F8" w14:textId="77777777" w:rsidR="00D170BF" w:rsidRPr="00D170BF" w:rsidRDefault="00D170BF" w:rsidP="00B33E11">
            <w:pPr>
              <w:jc w:val="center"/>
              <w:rPr>
                <w:color w:val="000000"/>
                <w:sz w:val="18"/>
                <w:szCs w:val="18"/>
                <w:lang w:val="es-AR" w:eastAsia="es-AR"/>
              </w:rPr>
            </w:pPr>
            <w:r w:rsidRPr="00D170BF">
              <w:rPr>
                <w:color w:val="000000"/>
                <w:sz w:val="18"/>
                <w:szCs w:val="18"/>
                <w:lang w:val="es-AR" w:eastAsia="es-AR"/>
              </w:rPr>
              <w:t>90,48%</w:t>
            </w:r>
          </w:p>
        </w:tc>
        <w:tc>
          <w:tcPr>
            <w:tcW w:w="1170" w:type="dxa"/>
            <w:shd w:val="clear" w:color="auto" w:fill="auto"/>
            <w:noWrap/>
            <w:vAlign w:val="bottom"/>
            <w:hideMark/>
          </w:tcPr>
          <w:p w14:paraId="674A2B7F" w14:textId="77777777" w:rsidR="00D170BF" w:rsidRPr="00D170BF" w:rsidRDefault="00D170BF" w:rsidP="00B33E11">
            <w:pPr>
              <w:jc w:val="center"/>
              <w:rPr>
                <w:color w:val="000000"/>
                <w:sz w:val="18"/>
                <w:szCs w:val="18"/>
                <w:lang w:val="es-AR" w:eastAsia="es-AR"/>
              </w:rPr>
            </w:pPr>
            <w:r w:rsidRPr="00D170BF">
              <w:rPr>
                <w:color w:val="000000"/>
                <w:sz w:val="18"/>
                <w:szCs w:val="18"/>
                <w:lang w:val="es-AR" w:eastAsia="es-AR"/>
              </w:rPr>
              <w:t>86,84%</w:t>
            </w:r>
          </w:p>
        </w:tc>
        <w:tc>
          <w:tcPr>
            <w:tcW w:w="1169" w:type="dxa"/>
            <w:shd w:val="clear" w:color="auto" w:fill="auto"/>
            <w:noWrap/>
            <w:vAlign w:val="bottom"/>
            <w:hideMark/>
          </w:tcPr>
          <w:p w14:paraId="23738F24" w14:textId="77777777" w:rsidR="00D170BF" w:rsidRPr="00D170BF" w:rsidRDefault="00D170BF" w:rsidP="00B33E11">
            <w:pPr>
              <w:jc w:val="center"/>
              <w:rPr>
                <w:color w:val="000000"/>
                <w:sz w:val="18"/>
                <w:szCs w:val="18"/>
                <w:lang w:val="es-AR" w:eastAsia="es-AR"/>
              </w:rPr>
            </w:pPr>
            <w:r w:rsidRPr="00D170BF">
              <w:rPr>
                <w:color w:val="000000"/>
                <w:sz w:val="18"/>
                <w:szCs w:val="18"/>
                <w:lang w:val="es-AR" w:eastAsia="es-AR"/>
              </w:rPr>
              <w:t>50,00%</w:t>
            </w:r>
          </w:p>
        </w:tc>
        <w:tc>
          <w:tcPr>
            <w:tcW w:w="1170" w:type="dxa"/>
            <w:shd w:val="clear" w:color="auto" w:fill="auto"/>
            <w:noWrap/>
            <w:vAlign w:val="bottom"/>
            <w:hideMark/>
          </w:tcPr>
          <w:p w14:paraId="2347100D" w14:textId="77777777" w:rsidR="00D170BF" w:rsidRPr="00D170BF" w:rsidRDefault="00D170BF" w:rsidP="00B33E11">
            <w:pPr>
              <w:jc w:val="center"/>
              <w:rPr>
                <w:color w:val="000000"/>
                <w:sz w:val="18"/>
                <w:szCs w:val="18"/>
                <w:lang w:val="es-AR" w:eastAsia="es-AR"/>
              </w:rPr>
            </w:pPr>
            <w:r w:rsidRPr="00D170BF">
              <w:rPr>
                <w:color w:val="000000"/>
                <w:sz w:val="18"/>
                <w:szCs w:val="18"/>
                <w:lang w:val="es-AR" w:eastAsia="es-AR"/>
              </w:rPr>
              <w:t>32,26%</w:t>
            </w:r>
          </w:p>
        </w:tc>
      </w:tr>
      <w:tr w:rsidR="00D170BF" w:rsidRPr="00D170BF" w14:paraId="4EA250CF" w14:textId="77777777" w:rsidTr="00B33E11">
        <w:trPr>
          <w:trHeight w:val="435"/>
        </w:trPr>
        <w:tc>
          <w:tcPr>
            <w:tcW w:w="4668" w:type="dxa"/>
            <w:shd w:val="clear" w:color="auto" w:fill="D9D9D9" w:themeFill="background1" w:themeFillShade="D9"/>
            <w:noWrap/>
            <w:vAlign w:val="bottom"/>
            <w:hideMark/>
          </w:tcPr>
          <w:p w14:paraId="399746CE" w14:textId="77777777" w:rsidR="00D170BF" w:rsidRPr="00D170BF" w:rsidRDefault="00D170BF" w:rsidP="00D170BF">
            <w:pPr>
              <w:rPr>
                <w:color w:val="000000"/>
                <w:sz w:val="18"/>
                <w:szCs w:val="18"/>
                <w:lang w:val="es-AR" w:eastAsia="es-AR"/>
              </w:rPr>
            </w:pPr>
            <w:r w:rsidRPr="00D170BF">
              <w:rPr>
                <w:color w:val="000000"/>
                <w:sz w:val="18"/>
                <w:szCs w:val="18"/>
                <w:lang w:val="es-AR" w:eastAsia="es-AR"/>
              </w:rPr>
              <w:t>Tasa de presentación en los primeros 12 meses</w:t>
            </w:r>
          </w:p>
        </w:tc>
        <w:tc>
          <w:tcPr>
            <w:tcW w:w="1169" w:type="dxa"/>
            <w:shd w:val="clear" w:color="auto" w:fill="auto"/>
            <w:noWrap/>
            <w:vAlign w:val="bottom"/>
            <w:hideMark/>
          </w:tcPr>
          <w:p w14:paraId="7B84319C" w14:textId="77777777" w:rsidR="00D170BF" w:rsidRPr="00D170BF" w:rsidRDefault="00D170BF" w:rsidP="00B33E11">
            <w:pPr>
              <w:jc w:val="center"/>
              <w:rPr>
                <w:color w:val="000000"/>
                <w:sz w:val="18"/>
                <w:szCs w:val="18"/>
                <w:lang w:val="es-AR" w:eastAsia="es-AR"/>
              </w:rPr>
            </w:pPr>
            <w:r w:rsidRPr="00D170BF">
              <w:rPr>
                <w:color w:val="000000"/>
                <w:sz w:val="18"/>
                <w:szCs w:val="18"/>
                <w:lang w:val="es-AR" w:eastAsia="es-AR"/>
              </w:rPr>
              <w:t>74,29%</w:t>
            </w:r>
          </w:p>
        </w:tc>
        <w:tc>
          <w:tcPr>
            <w:tcW w:w="1170" w:type="dxa"/>
            <w:shd w:val="clear" w:color="auto" w:fill="auto"/>
            <w:noWrap/>
            <w:vAlign w:val="bottom"/>
            <w:hideMark/>
          </w:tcPr>
          <w:p w14:paraId="197039A4" w14:textId="77777777" w:rsidR="00D170BF" w:rsidRPr="00D170BF" w:rsidRDefault="00D170BF" w:rsidP="00B33E11">
            <w:pPr>
              <w:jc w:val="center"/>
              <w:rPr>
                <w:color w:val="000000"/>
                <w:sz w:val="18"/>
                <w:szCs w:val="18"/>
                <w:lang w:val="es-AR" w:eastAsia="es-AR"/>
              </w:rPr>
            </w:pPr>
            <w:r w:rsidRPr="00D170BF">
              <w:rPr>
                <w:color w:val="000000"/>
                <w:sz w:val="18"/>
                <w:szCs w:val="18"/>
                <w:lang w:val="es-AR" w:eastAsia="es-AR"/>
              </w:rPr>
              <w:t>60,32%</w:t>
            </w:r>
          </w:p>
        </w:tc>
        <w:tc>
          <w:tcPr>
            <w:tcW w:w="1169" w:type="dxa"/>
            <w:shd w:val="clear" w:color="auto" w:fill="auto"/>
            <w:noWrap/>
            <w:vAlign w:val="bottom"/>
            <w:hideMark/>
          </w:tcPr>
          <w:p w14:paraId="016007BF" w14:textId="77777777" w:rsidR="00D170BF" w:rsidRPr="00D170BF" w:rsidRDefault="00D170BF" w:rsidP="00B33E11">
            <w:pPr>
              <w:jc w:val="center"/>
              <w:rPr>
                <w:color w:val="000000"/>
                <w:sz w:val="18"/>
                <w:szCs w:val="18"/>
                <w:lang w:val="es-AR" w:eastAsia="es-AR"/>
              </w:rPr>
            </w:pPr>
            <w:r w:rsidRPr="00D170BF">
              <w:rPr>
                <w:color w:val="000000"/>
                <w:sz w:val="18"/>
                <w:szCs w:val="18"/>
                <w:lang w:val="es-AR" w:eastAsia="es-AR"/>
              </w:rPr>
              <w:t>26,97%</w:t>
            </w:r>
          </w:p>
        </w:tc>
        <w:tc>
          <w:tcPr>
            <w:tcW w:w="1170" w:type="dxa"/>
            <w:shd w:val="clear" w:color="auto" w:fill="auto"/>
            <w:noWrap/>
            <w:vAlign w:val="bottom"/>
            <w:hideMark/>
          </w:tcPr>
          <w:p w14:paraId="5C15E295" w14:textId="77777777" w:rsidR="00D170BF" w:rsidRPr="00D170BF" w:rsidRDefault="00D170BF" w:rsidP="00B33E11">
            <w:pPr>
              <w:jc w:val="center"/>
              <w:rPr>
                <w:color w:val="000000"/>
                <w:sz w:val="18"/>
                <w:szCs w:val="18"/>
                <w:lang w:val="es-AR" w:eastAsia="es-AR"/>
              </w:rPr>
            </w:pPr>
            <w:r w:rsidRPr="00D170BF">
              <w:rPr>
                <w:color w:val="000000"/>
                <w:sz w:val="18"/>
                <w:szCs w:val="18"/>
                <w:lang w:val="es-AR" w:eastAsia="es-AR"/>
              </w:rPr>
              <w:t>(*)</w:t>
            </w:r>
          </w:p>
        </w:tc>
      </w:tr>
      <w:tr w:rsidR="00D170BF" w:rsidRPr="00D170BF" w14:paraId="38AC1E60" w14:textId="77777777" w:rsidTr="00B33E11">
        <w:trPr>
          <w:trHeight w:val="435"/>
        </w:trPr>
        <w:tc>
          <w:tcPr>
            <w:tcW w:w="4668" w:type="dxa"/>
            <w:shd w:val="clear" w:color="auto" w:fill="D9D9D9" w:themeFill="background1" w:themeFillShade="D9"/>
            <w:noWrap/>
            <w:vAlign w:val="bottom"/>
            <w:hideMark/>
          </w:tcPr>
          <w:p w14:paraId="440302F8" w14:textId="77777777" w:rsidR="00D170BF" w:rsidRPr="00D170BF" w:rsidRDefault="00D170BF" w:rsidP="00D170BF">
            <w:pPr>
              <w:rPr>
                <w:color w:val="000000"/>
                <w:sz w:val="18"/>
                <w:szCs w:val="18"/>
                <w:lang w:val="es-AR" w:eastAsia="es-AR"/>
              </w:rPr>
            </w:pPr>
            <w:r w:rsidRPr="00D170BF">
              <w:rPr>
                <w:color w:val="000000"/>
                <w:sz w:val="18"/>
                <w:szCs w:val="18"/>
                <w:lang w:val="es-AR" w:eastAsia="es-AR"/>
              </w:rPr>
              <w:t>Alumnos aprobados que se presentan al examen final durante los primeros 12 meses</w:t>
            </w:r>
          </w:p>
        </w:tc>
        <w:tc>
          <w:tcPr>
            <w:tcW w:w="1169" w:type="dxa"/>
            <w:shd w:val="clear" w:color="auto" w:fill="auto"/>
            <w:noWrap/>
            <w:vAlign w:val="bottom"/>
            <w:hideMark/>
          </w:tcPr>
          <w:p w14:paraId="4295C1E7" w14:textId="77777777" w:rsidR="00D170BF" w:rsidRPr="00D170BF" w:rsidRDefault="00D170BF" w:rsidP="00B33E11">
            <w:pPr>
              <w:jc w:val="center"/>
              <w:rPr>
                <w:color w:val="000000"/>
                <w:sz w:val="18"/>
                <w:szCs w:val="18"/>
                <w:lang w:val="es-AR" w:eastAsia="es-AR"/>
              </w:rPr>
            </w:pPr>
            <w:r w:rsidRPr="00D170BF">
              <w:rPr>
                <w:color w:val="000000"/>
                <w:sz w:val="18"/>
                <w:szCs w:val="18"/>
                <w:lang w:val="es-AR" w:eastAsia="es-AR"/>
              </w:rPr>
              <w:t>84,62%</w:t>
            </w:r>
          </w:p>
        </w:tc>
        <w:tc>
          <w:tcPr>
            <w:tcW w:w="1170" w:type="dxa"/>
            <w:shd w:val="clear" w:color="auto" w:fill="auto"/>
            <w:noWrap/>
            <w:vAlign w:val="bottom"/>
            <w:hideMark/>
          </w:tcPr>
          <w:p w14:paraId="063CA4A5" w14:textId="77777777" w:rsidR="00D170BF" w:rsidRPr="00D170BF" w:rsidRDefault="00D170BF" w:rsidP="00B33E11">
            <w:pPr>
              <w:jc w:val="center"/>
              <w:rPr>
                <w:color w:val="000000"/>
                <w:sz w:val="18"/>
                <w:szCs w:val="18"/>
                <w:lang w:val="es-AR" w:eastAsia="es-AR"/>
              </w:rPr>
            </w:pPr>
            <w:r w:rsidRPr="00D170BF">
              <w:rPr>
                <w:color w:val="000000"/>
                <w:sz w:val="18"/>
                <w:szCs w:val="18"/>
                <w:lang w:val="es-AR" w:eastAsia="es-AR"/>
              </w:rPr>
              <w:t>86,84%</w:t>
            </w:r>
          </w:p>
        </w:tc>
        <w:tc>
          <w:tcPr>
            <w:tcW w:w="1169" w:type="dxa"/>
            <w:shd w:val="clear" w:color="auto" w:fill="auto"/>
            <w:noWrap/>
            <w:vAlign w:val="bottom"/>
            <w:hideMark/>
          </w:tcPr>
          <w:p w14:paraId="5F850CBB" w14:textId="77777777" w:rsidR="00D170BF" w:rsidRPr="00D170BF" w:rsidRDefault="00D170BF" w:rsidP="00B33E11">
            <w:pPr>
              <w:jc w:val="center"/>
              <w:rPr>
                <w:color w:val="000000"/>
                <w:sz w:val="18"/>
                <w:szCs w:val="18"/>
                <w:lang w:val="es-AR" w:eastAsia="es-AR"/>
              </w:rPr>
            </w:pPr>
            <w:r w:rsidRPr="00D170BF">
              <w:rPr>
                <w:color w:val="000000"/>
                <w:sz w:val="18"/>
                <w:szCs w:val="18"/>
                <w:lang w:val="es-AR" w:eastAsia="es-AR"/>
              </w:rPr>
              <w:t>41,67%</w:t>
            </w:r>
          </w:p>
        </w:tc>
        <w:tc>
          <w:tcPr>
            <w:tcW w:w="1170" w:type="dxa"/>
            <w:shd w:val="clear" w:color="auto" w:fill="auto"/>
            <w:noWrap/>
            <w:vAlign w:val="bottom"/>
            <w:hideMark/>
          </w:tcPr>
          <w:p w14:paraId="0E464405" w14:textId="77777777" w:rsidR="00D170BF" w:rsidRPr="00D170BF" w:rsidRDefault="00D170BF" w:rsidP="00B33E11">
            <w:pPr>
              <w:jc w:val="center"/>
              <w:rPr>
                <w:color w:val="000000"/>
                <w:sz w:val="18"/>
                <w:szCs w:val="18"/>
                <w:lang w:val="es-AR" w:eastAsia="es-AR"/>
              </w:rPr>
            </w:pPr>
            <w:r w:rsidRPr="00D170BF">
              <w:rPr>
                <w:color w:val="000000"/>
                <w:sz w:val="18"/>
                <w:szCs w:val="18"/>
                <w:lang w:val="es-AR" w:eastAsia="es-AR"/>
              </w:rPr>
              <w:t>(*)</w:t>
            </w:r>
          </w:p>
        </w:tc>
      </w:tr>
    </w:tbl>
    <w:p w14:paraId="612C86CD" w14:textId="1631867A" w:rsidR="00EF18A2" w:rsidRDefault="00D2549C" w:rsidP="00B33E11">
      <w:pPr>
        <w:spacing w:before="240" w:line="360" w:lineRule="auto"/>
        <w:jc w:val="right"/>
        <w:rPr>
          <w:rFonts w:eastAsiaTheme="minorEastAsia"/>
          <w:noProof/>
          <w:szCs w:val="24"/>
          <w:lang w:eastAsia="ja-JP"/>
        </w:rPr>
      </w:pPr>
      <w:r>
        <w:rPr>
          <w:rFonts w:eastAsiaTheme="minorEastAsia"/>
          <w:noProof/>
          <w:szCs w:val="24"/>
          <w:lang w:eastAsia="ja-JP"/>
        </w:rPr>
        <w:t>Fuente: elaboración propia</w:t>
      </w:r>
    </w:p>
    <w:p w14:paraId="520D8E2B" w14:textId="6D13E940" w:rsidR="00475F78" w:rsidRDefault="00475F78" w:rsidP="008B517E">
      <w:pPr>
        <w:spacing w:line="360" w:lineRule="auto"/>
        <w:jc w:val="both"/>
        <w:rPr>
          <w:rFonts w:eastAsiaTheme="minorEastAsia"/>
          <w:noProof/>
          <w:szCs w:val="24"/>
          <w:lang w:eastAsia="ja-JP"/>
        </w:rPr>
      </w:pPr>
    </w:p>
    <w:p w14:paraId="23915377" w14:textId="2D5CB081" w:rsidR="009145E6" w:rsidRPr="00F50ABD" w:rsidRDefault="009145E6" w:rsidP="009145E6">
      <w:pPr>
        <w:spacing w:line="360" w:lineRule="auto"/>
        <w:jc w:val="both"/>
        <w:rPr>
          <w:b/>
          <w:szCs w:val="24"/>
        </w:rPr>
      </w:pPr>
      <w:r>
        <w:rPr>
          <w:b/>
          <w:szCs w:val="24"/>
        </w:rPr>
        <w:t xml:space="preserve">5. </w:t>
      </w:r>
      <w:r w:rsidRPr="00F50ABD">
        <w:rPr>
          <w:b/>
          <w:szCs w:val="24"/>
        </w:rPr>
        <w:t>Re</w:t>
      </w:r>
      <w:r>
        <w:rPr>
          <w:b/>
          <w:szCs w:val="24"/>
        </w:rPr>
        <w:t xml:space="preserve">flexiones finales </w:t>
      </w:r>
    </w:p>
    <w:p w14:paraId="6A2C3D90" w14:textId="52B9FB51" w:rsidR="00944E49" w:rsidRDefault="00944E49" w:rsidP="00944E49">
      <w:pPr>
        <w:spacing w:line="360" w:lineRule="auto"/>
        <w:jc w:val="both"/>
        <w:rPr>
          <w:rFonts w:eastAsiaTheme="minorEastAsia"/>
          <w:szCs w:val="24"/>
          <w:lang w:eastAsia="ja-JP"/>
        </w:rPr>
      </w:pPr>
      <w:r>
        <w:rPr>
          <w:rFonts w:eastAsiaTheme="minorEastAsia"/>
          <w:szCs w:val="24"/>
          <w:lang w:eastAsia="ja-JP"/>
        </w:rPr>
        <w:t xml:space="preserve">El presente trabajo tuvo como objetivo analizar el rendimiento académico alcanzado por los </w:t>
      </w:r>
      <w:r w:rsidRPr="004B42B1">
        <w:rPr>
          <w:rFonts w:eastAsiaTheme="minorEastAsia"/>
          <w:szCs w:val="24"/>
          <w:lang w:eastAsia="ja-JP"/>
        </w:rPr>
        <w:t xml:space="preserve">estudiantes de </w:t>
      </w:r>
      <w:proofErr w:type="spellStart"/>
      <w:r>
        <w:rPr>
          <w:rFonts w:eastAsiaTheme="minorEastAsia"/>
          <w:szCs w:val="24"/>
          <w:lang w:eastAsia="ja-JP"/>
        </w:rPr>
        <w:t>MFyA</w:t>
      </w:r>
      <w:proofErr w:type="spellEnd"/>
      <w:r w:rsidRPr="004B42B1">
        <w:rPr>
          <w:rFonts w:eastAsiaTheme="minorEastAsia"/>
          <w:szCs w:val="24"/>
          <w:lang w:eastAsia="ja-JP"/>
        </w:rPr>
        <w:t xml:space="preserve"> </w:t>
      </w:r>
      <w:r>
        <w:rPr>
          <w:rFonts w:eastAsiaTheme="minorEastAsia"/>
          <w:szCs w:val="24"/>
          <w:lang w:eastAsia="ja-JP"/>
        </w:rPr>
        <w:t xml:space="preserve">en el período de excepcionalidad pedagógica (2020-2021), </w:t>
      </w:r>
      <w:r w:rsidRPr="004B42B1">
        <w:rPr>
          <w:rFonts w:eastAsiaTheme="minorEastAsia"/>
          <w:szCs w:val="24"/>
          <w:lang w:eastAsia="ja-JP"/>
        </w:rPr>
        <w:t>realiza</w:t>
      </w:r>
      <w:r>
        <w:rPr>
          <w:rFonts w:eastAsiaTheme="minorEastAsia"/>
          <w:szCs w:val="24"/>
          <w:lang w:eastAsia="ja-JP"/>
        </w:rPr>
        <w:t>ndo</w:t>
      </w:r>
      <w:r w:rsidRPr="004B42B1">
        <w:rPr>
          <w:rFonts w:eastAsiaTheme="minorEastAsia"/>
          <w:szCs w:val="24"/>
          <w:lang w:eastAsia="ja-JP"/>
        </w:rPr>
        <w:t xml:space="preserve"> una comparación con el rendimiento logrado en la asignatura por parte de los </w:t>
      </w:r>
      <w:r w:rsidR="009D5102">
        <w:rPr>
          <w:rFonts w:eastAsiaTheme="minorEastAsia"/>
          <w:szCs w:val="24"/>
          <w:lang w:eastAsia="ja-JP"/>
        </w:rPr>
        <w:t>cursantes</w:t>
      </w:r>
      <w:r w:rsidRPr="004B42B1">
        <w:rPr>
          <w:rFonts w:eastAsiaTheme="minorEastAsia"/>
          <w:szCs w:val="24"/>
          <w:lang w:eastAsia="ja-JP"/>
        </w:rPr>
        <w:t xml:space="preserve"> en los dos años previos a dicho período.</w:t>
      </w:r>
      <w:r>
        <w:rPr>
          <w:rFonts w:eastAsiaTheme="minorEastAsia"/>
          <w:szCs w:val="24"/>
          <w:lang w:eastAsia="ja-JP"/>
        </w:rPr>
        <w:t xml:space="preserve"> Ello, para poder evaluar si la adopción de la modalidad virtual, que ha caracterizado al período de excepcionalidad, ha impactado en el rendimiento de los estudiantes, tanto en lo referido a la obtención de la regularidad como en lo relativo a la aprobación del espacio curricular.</w:t>
      </w:r>
    </w:p>
    <w:p w14:paraId="0EE51D9F" w14:textId="12685DAD" w:rsidR="005A3845" w:rsidRDefault="00944E49" w:rsidP="005A3845">
      <w:pPr>
        <w:spacing w:line="360" w:lineRule="auto"/>
        <w:jc w:val="both"/>
        <w:rPr>
          <w:rFonts w:eastAsiaTheme="minorEastAsia"/>
          <w:szCs w:val="24"/>
          <w:lang w:eastAsia="ja-JP"/>
        </w:rPr>
      </w:pPr>
      <w:r w:rsidRPr="005A3845">
        <w:rPr>
          <w:rFonts w:eastAsiaTheme="minorEastAsia"/>
          <w:szCs w:val="24"/>
          <w:lang w:eastAsia="ja-JP"/>
        </w:rPr>
        <w:t>L</w:t>
      </w:r>
      <w:r w:rsidRPr="004B42B1">
        <w:rPr>
          <w:rFonts w:eastAsiaTheme="minorEastAsia"/>
          <w:szCs w:val="24"/>
          <w:lang w:eastAsia="ja-JP"/>
        </w:rPr>
        <w:t>os resultados obtenidos no revelan diferencias significativas</w:t>
      </w:r>
      <w:r w:rsidRPr="005A3845">
        <w:rPr>
          <w:rFonts w:eastAsiaTheme="minorEastAsia"/>
          <w:szCs w:val="24"/>
          <w:lang w:eastAsia="ja-JP"/>
        </w:rPr>
        <w:t xml:space="preserve"> entre el </w:t>
      </w:r>
      <w:r w:rsidRPr="004B42B1">
        <w:rPr>
          <w:rFonts w:eastAsiaTheme="minorEastAsia"/>
          <w:szCs w:val="24"/>
          <w:lang w:eastAsia="ja-JP"/>
        </w:rPr>
        <w:t>período</w:t>
      </w:r>
      <w:r w:rsidRPr="005A3845">
        <w:rPr>
          <w:rFonts w:eastAsiaTheme="minorEastAsia"/>
          <w:szCs w:val="24"/>
          <w:lang w:eastAsia="ja-JP"/>
        </w:rPr>
        <w:t xml:space="preserve"> de excepcionalidad pedagógica y los dos </w:t>
      </w:r>
      <w:r w:rsidRPr="004B42B1">
        <w:rPr>
          <w:rFonts w:eastAsiaTheme="minorEastAsia"/>
          <w:szCs w:val="24"/>
          <w:lang w:eastAsia="ja-JP"/>
        </w:rPr>
        <w:t>años previos considerados</w:t>
      </w:r>
      <w:r w:rsidRPr="005A3845">
        <w:rPr>
          <w:rFonts w:eastAsiaTheme="minorEastAsia"/>
          <w:szCs w:val="24"/>
          <w:lang w:eastAsia="ja-JP"/>
        </w:rPr>
        <w:t>, en lo que respecta al rendimiento de los alumnos durante el cursado de la asignatura. Sin embargo, sí se aprecian diferencias en cuanto al rendimiento logrado a la hora de aprobar el espacio curricular</w:t>
      </w:r>
      <w:r w:rsidR="00052A7D">
        <w:rPr>
          <w:rFonts w:eastAsiaTheme="minorEastAsia"/>
          <w:szCs w:val="24"/>
          <w:lang w:eastAsia="ja-JP"/>
        </w:rPr>
        <w:t>,</w:t>
      </w:r>
      <w:r w:rsidR="005A3845" w:rsidRPr="005A3845">
        <w:rPr>
          <w:rFonts w:eastAsiaTheme="minorEastAsia"/>
          <w:szCs w:val="24"/>
          <w:lang w:eastAsia="ja-JP"/>
        </w:rPr>
        <w:t xml:space="preserve"> donde se advierte que, tanto la tasa de presentación a rendir los exámenes finales como la de aprobación de los mismos, disminuye respecto del período 2018-2019. E</w:t>
      </w:r>
      <w:r w:rsidR="00052A7D">
        <w:rPr>
          <w:rFonts w:eastAsiaTheme="minorEastAsia"/>
          <w:szCs w:val="24"/>
          <w:lang w:eastAsia="ja-JP"/>
        </w:rPr>
        <w:t>sto podr</w:t>
      </w:r>
      <w:r w:rsidR="009D5102">
        <w:rPr>
          <w:rFonts w:eastAsiaTheme="minorEastAsia"/>
          <w:szCs w:val="24"/>
          <w:lang w:eastAsia="ja-JP"/>
        </w:rPr>
        <w:t>ía ser explicado por l</w:t>
      </w:r>
      <w:r w:rsidR="00052A7D">
        <w:rPr>
          <w:rFonts w:eastAsiaTheme="minorEastAsia"/>
          <w:szCs w:val="24"/>
          <w:lang w:eastAsia="ja-JP"/>
        </w:rPr>
        <w:t xml:space="preserve">os cambios </w:t>
      </w:r>
      <w:r w:rsidR="009D5102">
        <w:rPr>
          <w:rFonts w:eastAsiaTheme="minorEastAsia"/>
          <w:szCs w:val="24"/>
          <w:lang w:eastAsia="ja-JP"/>
        </w:rPr>
        <w:t>realiza</w:t>
      </w:r>
      <w:r w:rsidR="00052A7D">
        <w:rPr>
          <w:rFonts w:eastAsiaTheme="minorEastAsia"/>
          <w:szCs w:val="24"/>
          <w:lang w:eastAsia="ja-JP"/>
        </w:rPr>
        <w:t>dos en a</w:t>
      </w:r>
      <w:r w:rsidR="005A3845" w:rsidRPr="005A3845">
        <w:rPr>
          <w:rFonts w:eastAsiaTheme="minorEastAsia"/>
          <w:szCs w:val="24"/>
          <w:lang w:eastAsia="ja-JP"/>
        </w:rPr>
        <w:t xml:space="preserve">lgunas condiciones </w:t>
      </w:r>
      <w:r w:rsidR="00052A7D">
        <w:rPr>
          <w:rFonts w:eastAsiaTheme="minorEastAsia"/>
          <w:szCs w:val="24"/>
          <w:lang w:eastAsia="ja-JP"/>
        </w:rPr>
        <w:t>fijadas durante el cursado de la asignatura</w:t>
      </w:r>
      <w:r w:rsidR="009D5102">
        <w:rPr>
          <w:rFonts w:eastAsiaTheme="minorEastAsia"/>
          <w:szCs w:val="24"/>
          <w:lang w:eastAsia="ja-JP"/>
        </w:rPr>
        <w:t>,</w:t>
      </w:r>
      <w:r w:rsidR="00052A7D">
        <w:rPr>
          <w:rFonts w:eastAsiaTheme="minorEastAsia"/>
          <w:szCs w:val="24"/>
          <w:lang w:eastAsia="ja-JP"/>
        </w:rPr>
        <w:t xml:space="preserve"> como </w:t>
      </w:r>
      <w:r w:rsidR="009D5102">
        <w:rPr>
          <w:rFonts w:eastAsiaTheme="minorEastAsia"/>
          <w:szCs w:val="24"/>
          <w:lang w:eastAsia="ja-JP"/>
        </w:rPr>
        <w:t xml:space="preserve">así también, </w:t>
      </w:r>
      <w:r w:rsidR="00052A7D">
        <w:rPr>
          <w:rFonts w:eastAsiaTheme="minorEastAsia"/>
          <w:szCs w:val="24"/>
          <w:lang w:eastAsia="ja-JP"/>
        </w:rPr>
        <w:t xml:space="preserve">por ciertas </w:t>
      </w:r>
      <w:r w:rsidR="005A3845" w:rsidRPr="005A3845">
        <w:rPr>
          <w:rFonts w:eastAsiaTheme="minorEastAsia"/>
          <w:szCs w:val="24"/>
          <w:lang w:eastAsia="ja-JP"/>
        </w:rPr>
        <w:t>modificaciones en la forma de tomar el examen final</w:t>
      </w:r>
      <w:r w:rsidR="009D5102">
        <w:rPr>
          <w:rFonts w:eastAsiaTheme="minorEastAsia"/>
          <w:szCs w:val="24"/>
          <w:lang w:eastAsia="ja-JP"/>
        </w:rPr>
        <w:t xml:space="preserve"> virtual</w:t>
      </w:r>
      <w:r w:rsidR="00052A7D">
        <w:rPr>
          <w:rFonts w:eastAsiaTheme="minorEastAsia"/>
          <w:szCs w:val="24"/>
          <w:lang w:eastAsia="ja-JP"/>
        </w:rPr>
        <w:t>.</w:t>
      </w:r>
      <w:r w:rsidR="005A3845">
        <w:rPr>
          <w:rFonts w:eastAsiaTheme="minorEastAsia"/>
          <w:szCs w:val="24"/>
          <w:lang w:eastAsia="ja-JP"/>
        </w:rPr>
        <w:t xml:space="preserve"> </w:t>
      </w:r>
      <w:r w:rsidR="005A3845" w:rsidRPr="005A3845">
        <w:rPr>
          <w:rFonts w:eastAsiaTheme="minorEastAsia"/>
          <w:szCs w:val="24"/>
          <w:lang w:eastAsia="ja-JP"/>
        </w:rPr>
        <w:t xml:space="preserve">Sin embargo, no debemos perder de vista que existe una multiplicidad de factores que pueden influir en el desempeño académico de los alumnos, tales como variables personales, socio-familiares, académicas, institucionales, entre otras, que también pueden haber afectado a nuestros estudiantes </w:t>
      </w:r>
      <w:r w:rsidR="00052A7D">
        <w:rPr>
          <w:rFonts w:eastAsiaTheme="minorEastAsia"/>
          <w:szCs w:val="24"/>
          <w:lang w:eastAsia="ja-JP"/>
        </w:rPr>
        <w:t xml:space="preserve">a la hora de presentarse a rendir el examen final de la asignatura </w:t>
      </w:r>
      <w:r w:rsidR="005A3845" w:rsidRPr="005A3845">
        <w:rPr>
          <w:rFonts w:eastAsiaTheme="minorEastAsia"/>
          <w:szCs w:val="24"/>
          <w:lang w:eastAsia="ja-JP"/>
        </w:rPr>
        <w:t>en este difícil período de pandemia.</w:t>
      </w:r>
    </w:p>
    <w:p w14:paraId="74FDED32" w14:textId="32A11A49" w:rsidR="00052A7D" w:rsidRPr="00052A7D" w:rsidRDefault="00052A7D" w:rsidP="00052A7D">
      <w:pPr>
        <w:spacing w:line="360" w:lineRule="auto"/>
        <w:jc w:val="both"/>
        <w:rPr>
          <w:rFonts w:eastAsiaTheme="minorEastAsia"/>
          <w:szCs w:val="24"/>
          <w:lang w:eastAsia="ja-JP"/>
        </w:rPr>
      </w:pPr>
      <w:r w:rsidRPr="00052A7D">
        <w:rPr>
          <w:rFonts w:eastAsiaTheme="minorEastAsia"/>
          <w:szCs w:val="24"/>
          <w:lang w:eastAsia="ja-JP"/>
        </w:rPr>
        <w:t xml:space="preserve">Resulta necesario, de este modo, avanzar en el </w:t>
      </w:r>
      <w:r>
        <w:rPr>
          <w:rFonts w:eastAsiaTheme="minorEastAsia"/>
          <w:szCs w:val="24"/>
          <w:lang w:eastAsia="ja-JP"/>
        </w:rPr>
        <w:t>e</w:t>
      </w:r>
      <w:r w:rsidRPr="00052A7D">
        <w:rPr>
          <w:rFonts w:eastAsiaTheme="minorEastAsia"/>
          <w:szCs w:val="24"/>
          <w:lang w:eastAsia="ja-JP"/>
        </w:rPr>
        <w:t xml:space="preserve">studio de aquellas variables que pueden haber incidido en esta situación, para poder luego operar sobre aquellas que pueden ser controladas o modificadas en </w:t>
      </w:r>
      <w:proofErr w:type="spellStart"/>
      <w:r w:rsidRPr="00052A7D">
        <w:rPr>
          <w:rFonts w:eastAsiaTheme="minorEastAsia"/>
          <w:szCs w:val="24"/>
          <w:lang w:eastAsia="ja-JP"/>
        </w:rPr>
        <w:t>pos</w:t>
      </w:r>
      <w:proofErr w:type="spellEnd"/>
      <w:r w:rsidRPr="00052A7D">
        <w:rPr>
          <w:rFonts w:eastAsiaTheme="minorEastAsia"/>
          <w:szCs w:val="24"/>
          <w:lang w:eastAsia="ja-JP"/>
        </w:rPr>
        <w:t xml:space="preserve"> de producir cambios, en el diseño de la propuesta didáctica </w:t>
      </w:r>
      <w:r w:rsidR="009D5102">
        <w:rPr>
          <w:rFonts w:eastAsiaTheme="minorEastAsia"/>
          <w:szCs w:val="24"/>
          <w:lang w:eastAsia="ja-JP"/>
        </w:rPr>
        <w:t>d</w:t>
      </w:r>
      <w:r w:rsidRPr="00052A7D">
        <w:rPr>
          <w:rFonts w:eastAsiaTheme="minorEastAsia"/>
          <w:szCs w:val="24"/>
          <w:lang w:eastAsia="ja-JP"/>
        </w:rPr>
        <w:t>el espacio curricular, que permitan mejorar el rendimiento académico de nuestros estudiantes.</w:t>
      </w:r>
    </w:p>
    <w:p w14:paraId="0BF0387E" w14:textId="77777777" w:rsidR="00052A7D" w:rsidRDefault="00052A7D" w:rsidP="005A3845">
      <w:pPr>
        <w:spacing w:line="360" w:lineRule="auto"/>
        <w:jc w:val="both"/>
        <w:rPr>
          <w:rFonts w:eastAsiaTheme="minorEastAsia"/>
          <w:szCs w:val="24"/>
          <w:lang w:eastAsia="ja-JP"/>
        </w:rPr>
      </w:pPr>
    </w:p>
    <w:p w14:paraId="48BB30EF" w14:textId="2F8E7CE5" w:rsidR="00120ED0" w:rsidRPr="00120ED0" w:rsidRDefault="00120ED0" w:rsidP="00120ED0">
      <w:pPr>
        <w:spacing w:line="360" w:lineRule="auto"/>
        <w:jc w:val="both"/>
        <w:rPr>
          <w:b/>
          <w:color w:val="FF0000"/>
          <w:szCs w:val="24"/>
        </w:rPr>
      </w:pPr>
      <w:r>
        <w:rPr>
          <w:b/>
          <w:szCs w:val="24"/>
        </w:rPr>
        <w:t xml:space="preserve">6. </w:t>
      </w:r>
      <w:r w:rsidRPr="00F50ABD">
        <w:rPr>
          <w:b/>
          <w:szCs w:val="24"/>
        </w:rPr>
        <w:t>Re</w:t>
      </w:r>
      <w:r>
        <w:rPr>
          <w:b/>
          <w:szCs w:val="24"/>
        </w:rPr>
        <w:t xml:space="preserve">ferencias bibliográficas </w:t>
      </w:r>
    </w:p>
    <w:p w14:paraId="3910A383" w14:textId="77777777" w:rsidR="006A6D87" w:rsidRPr="006A6D87" w:rsidRDefault="006A6D87" w:rsidP="006A6D87">
      <w:pPr>
        <w:pStyle w:val="BarraTitulo"/>
        <w:pBdr>
          <w:top w:val="none" w:sz="0" w:space="0" w:color="auto"/>
          <w:left w:val="none" w:sz="0" w:space="0" w:color="auto"/>
          <w:bottom w:val="none" w:sz="0" w:space="0" w:color="auto"/>
          <w:right w:val="none" w:sz="0" w:space="0" w:color="auto"/>
        </w:pBdr>
        <w:spacing w:line="360" w:lineRule="auto"/>
        <w:ind w:left="720" w:hanging="720"/>
        <w:jc w:val="both"/>
        <w:rPr>
          <w:b w:val="0"/>
          <w:szCs w:val="24"/>
        </w:rPr>
      </w:pPr>
      <w:r w:rsidRPr="006A6D87">
        <w:rPr>
          <w:b w:val="0"/>
          <w:szCs w:val="24"/>
        </w:rPr>
        <w:t xml:space="preserve">Álvaro, M. (1990). </w:t>
      </w:r>
      <w:r w:rsidRPr="006A6D87">
        <w:rPr>
          <w:b w:val="0"/>
          <w:i/>
          <w:szCs w:val="24"/>
        </w:rPr>
        <w:t>Hacia un modelo causal del rendimiento académico</w:t>
      </w:r>
      <w:r w:rsidRPr="006A6D87">
        <w:rPr>
          <w:b w:val="0"/>
          <w:szCs w:val="24"/>
        </w:rPr>
        <w:t>. Madrid: CIDE.</w:t>
      </w:r>
    </w:p>
    <w:p w14:paraId="4E5DABE9" w14:textId="77777777" w:rsidR="006A6D87" w:rsidRPr="006A6D87" w:rsidRDefault="006A6D87" w:rsidP="006A6D87">
      <w:pPr>
        <w:pStyle w:val="BarraTitulo"/>
        <w:pBdr>
          <w:top w:val="none" w:sz="0" w:space="0" w:color="auto"/>
          <w:left w:val="none" w:sz="0" w:space="0" w:color="auto"/>
          <w:bottom w:val="none" w:sz="0" w:space="0" w:color="auto"/>
          <w:right w:val="none" w:sz="0" w:space="0" w:color="auto"/>
        </w:pBdr>
        <w:spacing w:line="360" w:lineRule="auto"/>
        <w:ind w:left="720" w:hanging="720"/>
        <w:jc w:val="both"/>
        <w:rPr>
          <w:rFonts w:eastAsiaTheme="minorEastAsia"/>
          <w:b w:val="0"/>
          <w:szCs w:val="24"/>
          <w:lang w:val="es-AR" w:eastAsia="ja-JP"/>
        </w:rPr>
      </w:pPr>
      <w:r w:rsidRPr="006A6D87">
        <w:rPr>
          <w:rFonts w:eastAsiaTheme="minorEastAsia"/>
          <w:b w:val="0"/>
          <w:szCs w:val="24"/>
          <w:lang w:eastAsia="ja-JP"/>
        </w:rPr>
        <w:lastRenderedPageBreak/>
        <w:t>De la Orden</w:t>
      </w:r>
      <w:r w:rsidRPr="006A6D87">
        <w:rPr>
          <w:rFonts w:eastAsiaTheme="minorEastAsia"/>
          <w:b w:val="0"/>
          <w:szCs w:val="24"/>
          <w:lang w:val="es-AR" w:eastAsia="ja-JP"/>
        </w:rPr>
        <w:t xml:space="preserve">, A., García, J. &amp; Gaviria, J. (1986). Un acercamiento experimental a la investigación del rendimiento en la Universidad. </w:t>
      </w:r>
      <w:r w:rsidRPr="006A6D87">
        <w:rPr>
          <w:rFonts w:eastAsiaTheme="minorEastAsia"/>
          <w:b w:val="0"/>
          <w:i/>
          <w:iCs/>
          <w:szCs w:val="24"/>
          <w:lang w:val="es-AR" w:eastAsia="ja-JP"/>
        </w:rPr>
        <w:t>Revista de Investigación Educativa</w:t>
      </w:r>
      <w:r w:rsidRPr="006A6D87">
        <w:rPr>
          <w:rFonts w:eastAsiaTheme="minorEastAsia"/>
          <w:b w:val="0"/>
          <w:szCs w:val="24"/>
          <w:lang w:val="es-AR" w:eastAsia="ja-JP"/>
        </w:rPr>
        <w:t xml:space="preserve">, </w:t>
      </w:r>
      <w:r w:rsidRPr="006A6D87">
        <w:rPr>
          <w:rFonts w:eastAsiaTheme="minorEastAsia"/>
          <w:b w:val="0"/>
          <w:i/>
          <w:szCs w:val="24"/>
          <w:lang w:val="es-AR" w:eastAsia="ja-JP"/>
        </w:rPr>
        <w:t>8</w:t>
      </w:r>
      <w:r w:rsidRPr="006A6D87">
        <w:rPr>
          <w:rFonts w:eastAsiaTheme="minorEastAsia"/>
          <w:b w:val="0"/>
          <w:szCs w:val="24"/>
          <w:lang w:val="es-AR" w:eastAsia="ja-JP"/>
        </w:rPr>
        <w:t>(4), 21-36.</w:t>
      </w:r>
    </w:p>
    <w:p w14:paraId="7A98E2E2" w14:textId="77777777" w:rsidR="006A6D87" w:rsidRPr="006A6D87" w:rsidRDefault="006A6D87" w:rsidP="006A6D87">
      <w:pPr>
        <w:spacing w:line="360" w:lineRule="auto"/>
        <w:ind w:left="709" w:hanging="709"/>
        <w:jc w:val="both"/>
        <w:rPr>
          <w:szCs w:val="24"/>
          <w:shd w:val="clear" w:color="auto" w:fill="FFFFFF"/>
        </w:rPr>
      </w:pPr>
      <w:r w:rsidRPr="006A6D87">
        <w:rPr>
          <w:rFonts w:eastAsiaTheme="minorEastAsia"/>
          <w:noProof/>
          <w:szCs w:val="24"/>
          <w:lang w:eastAsia="ja-JP"/>
        </w:rPr>
        <w:t xml:space="preserve">Ficco, C. y Musa, P. (2020). </w:t>
      </w:r>
      <w:r w:rsidRPr="006A6D87">
        <w:rPr>
          <w:szCs w:val="24"/>
          <w:shd w:val="clear" w:color="auto" w:fill="FFFFFF"/>
        </w:rPr>
        <w:t xml:space="preserve">Innovaciones en el contexto de excepcionalidad pedagógica: </w:t>
      </w:r>
      <w:r w:rsidRPr="006A6D87">
        <w:rPr>
          <w:szCs w:val="24"/>
        </w:rPr>
        <w:t xml:space="preserve">Desarrollo de una propuesta didáctica de aprendizaje activo en Matemática Financiera. </w:t>
      </w:r>
      <w:r w:rsidRPr="006A6D87">
        <w:rPr>
          <w:szCs w:val="24"/>
          <w:shd w:val="clear" w:color="auto" w:fill="FFFFFF"/>
        </w:rPr>
        <w:t xml:space="preserve">Trabajo presentado en el </w:t>
      </w:r>
      <w:r w:rsidRPr="006A6D87">
        <w:rPr>
          <w:i/>
          <w:szCs w:val="24"/>
          <w:shd w:val="clear" w:color="auto" w:fill="FFFFFF"/>
        </w:rPr>
        <w:t>V Congreso de Ciencias Económicas del centro de la República</w:t>
      </w:r>
      <w:r w:rsidRPr="006A6D87">
        <w:rPr>
          <w:szCs w:val="24"/>
          <w:shd w:val="clear" w:color="auto" w:fill="FFFFFF"/>
        </w:rPr>
        <w:t>. Villa María, Argentina.</w:t>
      </w:r>
    </w:p>
    <w:p w14:paraId="5644DEC1" w14:textId="77777777" w:rsidR="006A6D87" w:rsidRPr="006A6D87" w:rsidRDefault="006A6D87" w:rsidP="006A6D87">
      <w:pPr>
        <w:pStyle w:val="BarraTitulo"/>
        <w:pBdr>
          <w:top w:val="none" w:sz="0" w:space="0" w:color="auto"/>
          <w:left w:val="none" w:sz="0" w:space="0" w:color="auto"/>
          <w:bottom w:val="none" w:sz="0" w:space="0" w:color="auto"/>
          <w:right w:val="none" w:sz="0" w:space="0" w:color="auto"/>
        </w:pBdr>
        <w:spacing w:line="360" w:lineRule="auto"/>
        <w:ind w:left="720" w:hanging="720"/>
        <w:jc w:val="both"/>
        <w:rPr>
          <w:rFonts w:eastAsiaTheme="minorEastAsia"/>
          <w:b w:val="0"/>
          <w:szCs w:val="24"/>
          <w:lang w:val="es-AR" w:eastAsia="ja-JP"/>
        </w:rPr>
      </w:pPr>
      <w:r w:rsidRPr="006A6D87">
        <w:rPr>
          <w:rFonts w:eastAsiaTheme="minorEastAsia"/>
          <w:b w:val="0"/>
          <w:szCs w:val="24"/>
          <w:lang w:val="es-AR" w:eastAsia="ja-JP"/>
        </w:rPr>
        <w:t xml:space="preserve">García, A. M. (2014). </w:t>
      </w:r>
      <w:r w:rsidRPr="006A6D87">
        <w:rPr>
          <w:b w:val="0"/>
          <w:szCs w:val="24"/>
        </w:rPr>
        <w:t xml:space="preserve">Rendimiento académico y abandono universitario: Modelos, resultados y alcances de la producción académica en la Argentina. </w:t>
      </w:r>
      <w:r w:rsidRPr="006A6D87">
        <w:rPr>
          <w:b w:val="0"/>
          <w:i/>
          <w:szCs w:val="24"/>
        </w:rPr>
        <w:t>Revista Argentina de Educación Superior, 8</w:t>
      </w:r>
      <w:r w:rsidRPr="006A6D87">
        <w:rPr>
          <w:b w:val="0"/>
          <w:szCs w:val="24"/>
        </w:rPr>
        <w:t>, 9-38.</w:t>
      </w:r>
    </w:p>
    <w:p w14:paraId="2B226642" w14:textId="77777777" w:rsidR="006A6D87" w:rsidRPr="006A6D87" w:rsidRDefault="006A6D87" w:rsidP="006A6D87">
      <w:pPr>
        <w:pStyle w:val="BarraTitulo"/>
        <w:pBdr>
          <w:top w:val="none" w:sz="0" w:space="0" w:color="auto"/>
          <w:left w:val="none" w:sz="0" w:space="0" w:color="auto"/>
          <w:bottom w:val="none" w:sz="0" w:space="0" w:color="auto"/>
          <w:right w:val="none" w:sz="0" w:space="0" w:color="auto"/>
        </w:pBdr>
        <w:spacing w:line="360" w:lineRule="auto"/>
        <w:ind w:left="720" w:hanging="720"/>
        <w:jc w:val="both"/>
        <w:rPr>
          <w:rFonts w:eastAsiaTheme="minorEastAsia"/>
          <w:b w:val="0"/>
          <w:szCs w:val="24"/>
          <w:lang w:val="es-AR" w:eastAsia="ja-JP"/>
        </w:rPr>
      </w:pPr>
      <w:r w:rsidRPr="006A6D87">
        <w:rPr>
          <w:rFonts w:eastAsiaTheme="minorEastAsia"/>
          <w:b w:val="0"/>
          <w:szCs w:val="24"/>
          <w:lang w:val="es-AR" w:eastAsia="ja-JP"/>
        </w:rPr>
        <w:t xml:space="preserve">García-Valcárcel, A. (1991). </w:t>
      </w:r>
      <w:r w:rsidRPr="006A6D87">
        <w:rPr>
          <w:rFonts w:eastAsiaTheme="minorEastAsia"/>
          <w:b w:val="0"/>
          <w:i/>
          <w:iCs/>
          <w:szCs w:val="24"/>
          <w:lang w:val="es-AR" w:eastAsia="ja-JP"/>
        </w:rPr>
        <w:t xml:space="preserve">Modelos de actuación docente en la enseñanza universitaria. </w:t>
      </w:r>
      <w:r w:rsidRPr="006A6D87">
        <w:rPr>
          <w:rFonts w:eastAsiaTheme="minorEastAsia"/>
          <w:b w:val="0"/>
          <w:szCs w:val="24"/>
          <w:lang w:val="es-AR" w:eastAsia="ja-JP"/>
        </w:rPr>
        <w:t>Tesis Doctoral, Universidad Pontificia de Comillas, Madrid, España.</w:t>
      </w:r>
    </w:p>
    <w:p w14:paraId="61B9CB24" w14:textId="77777777" w:rsidR="006A6D87" w:rsidRPr="006A6D87" w:rsidRDefault="006A6D87" w:rsidP="006A6D87">
      <w:pPr>
        <w:pStyle w:val="BarraTitulo"/>
        <w:pBdr>
          <w:top w:val="none" w:sz="0" w:space="0" w:color="auto"/>
          <w:left w:val="none" w:sz="0" w:space="0" w:color="auto"/>
          <w:bottom w:val="none" w:sz="0" w:space="0" w:color="auto"/>
          <w:right w:val="none" w:sz="0" w:space="0" w:color="auto"/>
        </w:pBdr>
        <w:spacing w:line="360" w:lineRule="auto"/>
        <w:ind w:left="720" w:hanging="720"/>
        <w:jc w:val="both"/>
        <w:rPr>
          <w:rFonts w:eastAsiaTheme="minorEastAsia"/>
          <w:b w:val="0"/>
          <w:szCs w:val="24"/>
          <w:lang w:val="es-AR" w:eastAsia="ja-JP"/>
        </w:rPr>
      </w:pPr>
      <w:r w:rsidRPr="006A6D87">
        <w:rPr>
          <w:rFonts w:eastAsiaTheme="minorEastAsia"/>
          <w:b w:val="0"/>
          <w:szCs w:val="24"/>
          <w:lang w:val="es-AR" w:eastAsia="ja-JP"/>
        </w:rPr>
        <w:t xml:space="preserve">García-Valcárcel, A. (2001). La función docente del profesor universitario. En A. García-Valcárcel (coord.), </w:t>
      </w:r>
      <w:r w:rsidRPr="006A6D87">
        <w:rPr>
          <w:rFonts w:eastAsiaTheme="minorEastAsia"/>
          <w:b w:val="0"/>
          <w:i/>
          <w:iCs/>
          <w:szCs w:val="24"/>
          <w:lang w:val="es-AR" w:eastAsia="ja-JP"/>
        </w:rPr>
        <w:t>Didáctica universitaria (</w:t>
      </w:r>
      <w:r w:rsidRPr="006A6D87">
        <w:rPr>
          <w:rFonts w:eastAsiaTheme="minorEastAsia"/>
          <w:b w:val="0"/>
          <w:szCs w:val="24"/>
          <w:lang w:val="es-AR" w:eastAsia="ja-JP"/>
        </w:rPr>
        <w:t>pp. 9-44). Madrid: La Muralla.</w:t>
      </w:r>
    </w:p>
    <w:p w14:paraId="2FB303C3" w14:textId="77777777" w:rsidR="006A6D87" w:rsidRPr="006A6D87" w:rsidRDefault="006A6D87" w:rsidP="006A6D87">
      <w:pPr>
        <w:pStyle w:val="BarraTitulo"/>
        <w:pBdr>
          <w:top w:val="none" w:sz="0" w:space="0" w:color="auto"/>
          <w:left w:val="none" w:sz="0" w:space="0" w:color="auto"/>
          <w:bottom w:val="none" w:sz="0" w:space="0" w:color="auto"/>
          <w:right w:val="none" w:sz="0" w:space="0" w:color="auto"/>
        </w:pBdr>
        <w:spacing w:line="360" w:lineRule="auto"/>
        <w:ind w:left="720" w:hanging="720"/>
        <w:jc w:val="both"/>
        <w:rPr>
          <w:rFonts w:eastAsiaTheme="minorEastAsia"/>
          <w:b w:val="0"/>
          <w:szCs w:val="24"/>
          <w:lang w:val="es-AR" w:eastAsia="ja-JP"/>
        </w:rPr>
      </w:pPr>
      <w:r w:rsidRPr="006A6D87">
        <w:rPr>
          <w:b w:val="0"/>
          <w:szCs w:val="24"/>
        </w:rPr>
        <w:t xml:space="preserve">Giovagnoli, P. (2007). Factores asociados al desempeño académico universitario. En A. Porto (ed), </w:t>
      </w:r>
      <w:r w:rsidRPr="006A6D87">
        <w:rPr>
          <w:b w:val="0"/>
          <w:i/>
          <w:szCs w:val="24"/>
        </w:rPr>
        <w:t>Mecanismos de admisión y rendimiento académico de los estudiantes universitarios. Estudio comparativo para estudiantes de Ciencias Económicas</w:t>
      </w:r>
      <w:r w:rsidRPr="006A6D87">
        <w:rPr>
          <w:b w:val="0"/>
          <w:szCs w:val="24"/>
        </w:rPr>
        <w:t xml:space="preserve"> (pp. 159-176). La Plata: Editorial de la Universidad de La Plata.</w:t>
      </w:r>
    </w:p>
    <w:p w14:paraId="01A427F6" w14:textId="77777777" w:rsidR="006A6D87" w:rsidRPr="006A6D87" w:rsidRDefault="006A6D87" w:rsidP="006A6D87">
      <w:pPr>
        <w:pStyle w:val="BarraTitulo"/>
        <w:pBdr>
          <w:top w:val="none" w:sz="0" w:space="0" w:color="auto"/>
          <w:left w:val="none" w:sz="0" w:space="0" w:color="auto"/>
          <w:bottom w:val="none" w:sz="0" w:space="0" w:color="auto"/>
          <w:right w:val="none" w:sz="0" w:space="0" w:color="auto"/>
        </w:pBdr>
        <w:spacing w:line="360" w:lineRule="auto"/>
        <w:ind w:left="720" w:hanging="720"/>
        <w:jc w:val="both"/>
        <w:rPr>
          <w:rFonts w:eastAsiaTheme="minorEastAsia"/>
          <w:b w:val="0"/>
          <w:szCs w:val="24"/>
          <w:lang w:val="es-AR" w:eastAsia="ja-JP"/>
        </w:rPr>
      </w:pPr>
      <w:r w:rsidRPr="006A6D87">
        <w:rPr>
          <w:rFonts w:eastAsiaTheme="minorEastAsia"/>
          <w:b w:val="0"/>
          <w:szCs w:val="24"/>
          <w:lang w:val="es-AR" w:eastAsia="ja-JP"/>
        </w:rPr>
        <w:t xml:space="preserve">González, R. (1989). </w:t>
      </w:r>
      <w:r w:rsidRPr="006A6D87">
        <w:rPr>
          <w:rFonts w:eastAsiaTheme="minorEastAsia"/>
          <w:b w:val="0"/>
          <w:i/>
          <w:iCs/>
          <w:szCs w:val="24"/>
          <w:lang w:val="es-AR" w:eastAsia="ja-JP"/>
        </w:rPr>
        <w:t xml:space="preserve">Análisis de las causas del fracaso escolar en la Universidad Politécnica de Madrid. </w:t>
      </w:r>
      <w:r w:rsidRPr="006A6D87">
        <w:rPr>
          <w:rFonts w:eastAsiaTheme="minorEastAsia"/>
          <w:b w:val="0"/>
          <w:szCs w:val="24"/>
          <w:lang w:val="es-AR" w:eastAsia="ja-JP"/>
        </w:rPr>
        <w:t>Madrid: MEC-CIDE.</w:t>
      </w:r>
    </w:p>
    <w:p w14:paraId="119DACDC" w14:textId="77777777" w:rsidR="006A6D87" w:rsidRPr="006A6D87" w:rsidRDefault="006A6D87" w:rsidP="006A6D87">
      <w:pPr>
        <w:autoSpaceDE w:val="0"/>
        <w:autoSpaceDN w:val="0"/>
        <w:adjustRightInd w:val="0"/>
        <w:spacing w:line="360" w:lineRule="auto"/>
        <w:ind w:left="709" w:hanging="709"/>
        <w:jc w:val="both"/>
        <w:rPr>
          <w:szCs w:val="24"/>
          <w:lang w:val="en-US"/>
        </w:rPr>
      </w:pPr>
      <w:r w:rsidRPr="006A6D87">
        <w:rPr>
          <w:szCs w:val="24"/>
          <w:lang w:val="es-AR"/>
        </w:rPr>
        <w:t xml:space="preserve">Hernández, R., Fernández, C. y Baptista, P. (2010). </w:t>
      </w:r>
      <w:proofErr w:type="spellStart"/>
      <w:r w:rsidRPr="006A6D87">
        <w:rPr>
          <w:i/>
          <w:szCs w:val="24"/>
          <w:lang w:val="en-US"/>
        </w:rPr>
        <w:t>Metodología</w:t>
      </w:r>
      <w:proofErr w:type="spellEnd"/>
      <w:r w:rsidRPr="006A6D87">
        <w:rPr>
          <w:i/>
          <w:szCs w:val="24"/>
          <w:lang w:val="en-US"/>
        </w:rPr>
        <w:t xml:space="preserve"> de la </w:t>
      </w:r>
      <w:proofErr w:type="spellStart"/>
      <w:r w:rsidRPr="006A6D87">
        <w:rPr>
          <w:i/>
          <w:szCs w:val="24"/>
          <w:lang w:val="en-US"/>
        </w:rPr>
        <w:t>investigación</w:t>
      </w:r>
      <w:proofErr w:type="spellEnd"/>
      <w:r w:rsidRPr="006A6D87">
        <w:rPr>
          <w:szCs w:val="24"/>
          <w:lang w:val="en-US"/>
        </w:rPr>
        <w:t>. México: Mc. Graw Hill.</w:t>
      </w:r>
      <w:bookmarkStart w:id="0" w:name="_GoBack"/>
      <w:bookmarkEnd w:id="0"/>
    </w:p>
    <w:p w14:paraId="68FD3901" w14:textId="77777777" w:rsidR="006A6D87" w:rsidRPr="006A6D87" w:rsidRDefault="006A6D87" w:rsidP="006A6D87">
      <w:pPr>
        <w:pStyle w:val="BarraTitulo"/>
        <w:pBdr>
          <w:top w:val="none" w:sz="0" w:space="0" w:color="auto"/>
          <w:left w:val="none" w:sz="0" w:space="0" w:color="auto"/>
          <w:bottom w:val="none" w:sz="0" w:space="0" w:color="auto"/>
          <w:right w:val="none" w:sz="0" w:space="0" w:color="auto"/>
        </w:pBdr>
        <w:spacing w:line="360" w:lineRule="auto"/>
        <w:ind w:left="720" w:hanging="720"/>
        <w:jc w:val="both"/>
        <w:rPr>
          <w:b w:val="0"/>
          <w:szCs w:val="24"/>
          <w:lang w:val="es-AR"/>
        </w:rPr>
      </w:pPr>
      <w:r w:rsidRPr="006A6D87">
        <w:rPr>
          <w:b w:val="0"/>
          <w:szCs w:val="24"/>
          <w:lang w:val="es-AR"/>
        </w:rPr>
        <w:t xml:space="preserve">Montero, E., Villalobos, J. &amp; Valverde, B (2007). </w:t>
      </w:r>
      <w:r w:rsidRPr="006A6D87">
        <w:rPr>
          <w:b w:val="0"/>
          <w:bCs/>
          <w:szCs w:val="24"/>
          <w:shd w:val="clear" w:color="auto" w:fill="FFFFFF"/>
        </w:rPr>
        <w:t xml:space="preserve">Factores institucionales, pedagógicos, psicosociales  y sociodemográficos asociados al rendimiento académico en la Universidad de Costa Rica: un análisis multinivel. </w:t>
      </w:r>
      <w:r w:rsidRPr="006A6D87">
        <w:rPr>
          <w:b w:val="0"/>
          <w:bCs/>
          <w:i/>
          <w:szCs w:val="24"/>
          <w:shd w:val="clear" w:color="auto" w:fill="FFFFFF"/>
        </w:rPr>
        <w:t>Relieve, 2</w:t>
      </w:r>
      <w:r w:rsidRPr="006A6D87">
        <w:rPr>
          <w:b w:val="0"/>
          <w:bCs/>
          <w:szCs w:val="24"/>
          <w:shd w:val="clear" w:color="auto" w:fill="FFFFFF"/>
        </w:rPr>
        <w:t>(13), 215-234.</w:t>
      </w:r>
    </w:p>
    <w:p w14:paraId="5580D2D6" w14:textId="77777777" w:rsidR="006A6D87" w:rsidRPr="006A6D87" w:rsidRDefault="006A6D87" w:rsidP="006A6D87">
      <w:pPr>
        <w:spacing w:line="360" w:lineRule="auto"/>
        <w:ind w:left="709" w:hanging="709"/>
        <w:jc w:val="both"/>
        <w:rPr>
          <w:szCs w:val="24"/>
          <w:shd w:val="clear" w:color="auto" w:fill="FFFFFF"/>
          <w:lang w:val="en-US"/>
        </w:rPr>
      </w:pPr>
      <w:r w:rsidRPr="006A6D87">
        <w:rPr>
          <w:szCs w:val="24"/>
          <w:shd w:val="clear" w:color="auto" w:fill="FFFFFF"/>
        </w:rPr>
        <w:t>Ocaña, Y. (2011). Variables académicas que influyen en el rendimiento académico de los estudiantes universitarios. </w:t>
      </w:r>
      <w:proofErr w:type="spellStart"/>
      <w:r w:rsidRPr="006A6D87">
        <w:rPr>
          <w:i/>
          <w:iCs/>
          <w:szCs w:val="24"/>
          <w:shd w:val="clear" w:color="auto" w:fill="FFFFFF"/>
          <w:lang w:val="en-US"/>
        </w:rPr>
        <w:t>Investigación</w:t>
      </w:r>
      <w:proofErr w:type="spellEnd"/>
      <w:r w:rsidRPr="006A6D87">
        <w:rPr>
          <w:i/>
          <w:iCs/>
          <w:szCs w:val="24"/>
          <w:shd w:val="clear" w:color="auto" w:fill="FFFFFF"/>
          <w:lang w:val="en-US"/>
        </w:rPr>
        <w:t xml:space="preserve"> </w:t>
      </w:r>
      <w:proofErr w:type="spellStart"/>
      <w:r w:rsidRPr="006A6D87">
        <w:rPr>
          <w:i/>
          <w:iCs/>
          <w:szCs w:val="24"/>
          <w:shd w:val="clear" w:color="auto" w:fill="FFFFFF"/>
          <w:lang w:val="en-US"/>
        </w:rPr>
        <w:t>educativa</w:t>
      </w:r>
      <w:proofErr w:type="spellEnd"/>
      <w:r w:rsidRPr="006A6D87">
        <w:rPr>
          <w:szCs w:val="24"/>
          <w:shd w:val="clear" w:color="auto" w:fill="FFFFFF"/>
          <w:lang w:val="en-US"/>
        </w:rPr>
        <w:t>, </w:t>
      </w:r>
      <w:r w:rsidRPr="006A6D87">
        <w:rPr>
          <w:i/>
          <w:iCs/>
          <w:szCs w:val="24"/>
          <w:shd w:val="clear" w:color="auto" w:fill="FFFFFF"/>
          <w:lang w:val="en-US"/>
        </w:rPr>
        <w:t>15</w:t>
      </w:r>
      <w:r w:rsidRPr="006A6D87">
        <w:rPr>
          <w:szCs w:val="24"/>
          <w:shd w:val="clear" w:color="auto" w:fill="FFFFFF"/>
          <w:lang w:val="en-US"/>
        </w:rPr>
        <w:t>(27), 165-179.</w:t>
      </w:r>
    </w:p>
    <w:p w14:paraId="4A253A74" w14:textId="77777777" w:rsidR="006A6D87" w:rsidRPr="006A6D87" w:rsidRDefault="006A6D87" w:rsidP="006A6D87">
      <w:pPr>
        <w:pStyle w:val="BarraTitulo"/>
        <w:pBdr>
          <w:top w:val="none" w:sz="0" w:space="0" w:color="auto"/>
          <w:left w:val="none" w:sz="0" w:space="0" w:color="auto"/>
          <w:bottom w:val="none" w:sz="0" w:space="0" w:color="auto"/>
          <w:right w:val="none" w:sz="0" w:space="0" w:color="auto"/>
        </w:pBdr>
        <w:spacing w:line="360" w:lineRule="auto"/>
        <w:ind w:left="720" w:hanging="720"/>
        <w:jc w:val="both"/>
        <w:rPr>
          <w:rFonts w:eastAsiaTheme="minorEastAsia"/>
          <w:b w:val="0"/>
          <w:szCs w:val="24"/>
          <w:lang w:val="es-AR" w:eastAsia="ja-JP"/>
        </w:rPr>
      </w:pPr>
      <w:r w:rsidRPr="006A6D87">
        <w:rPr>
          <w:rFonts w:eastAsiaTheme="minorEastAsia"/>
          <w:b w:val="0"/>
          <w:szCs w:val="24"/>
          <w:lang w:val="es-AR" w:eastAsia="ja-JP"/>
        </w:rPr>
        <w:t xml:space="preserve">Sánchez, M. (1996) </w:t>
      </w:r>
      <w:r w:rsidRPr="006A6D87">
        <w:rPr>
          <w:rFonts w:eastAsiaTheme="minorEastAsia"/>
          <w:b w:val="0"/>
          <w:i/>
          <w:iCs/>
          <w:szCs w:val="24"/>
          <w:lang w:val="es-AR" w:eastAsia="ja-JP"/>
        </w:rPr>
        <w:t>Determinantes del rendimiento académico en la Universidad de Salamanca</w:t>
      </w:r>
      <w:r w:rsidRPr="006A6D87">
        <w:rPr>
          <w:rFonts w:eastAsiaTheme="minorEastAsia"/>
          <w:b w:val="0"/>
          <w:iCs/>
          <w:szCs w:val="24"/>
          <w:lang w:val="es-AR" w:eastAsia="ja-JP"/>
        </w:rPr>
        <w:t>.</w:t>
      </w:r>
      <w:r w:rsidRPr="006A6D87">
        <w:rPr>
          <w:rFonts w:eastAsiaTheme="minorEastAsia"/>
          <w:b w:val="0"/>
          <w:szCs w:val="24"/>
          <w:lang w:val="es-AR" w:eastAsia="ja-JP"/>
        </w:rPr>
        <w:t xml:space="preserve"> Tesis doctoral, Universidad de Salamanca, Salamanca, España.</w:t>
      </w:r>
    </w:p>
    <w:p w14:paraId="11403E66" w14:textId="77777777" w:rsidR="006A6D87" w:rsidRPr="006A6D87" w:rsidRDefault="006A6D87" w:rsidP="006A6D87">
      <w:pPr>
        <w:pStyle w:val="BarraTitulo"/>
        <w:pBdr>
          <w:top w:val="none" w:sz="0" w:space="0" w:color="auto"/>
          <w:left w:val="none" w:sz="0" w:space="0" w:color="auto"/>
          <w:bottom w:val="none" w:sz="0" w:space="0" w:color="auto"/>
          <w:right w:val="none" w:sz="0" w:space="0" w:color="auto"/>
        </w:pBdr>
        <w:spacing w:line="360" w:lineRule="auto"/>
        <w:ind w:left="720" w:hanging="720"/>
        <w:jc w:val="both"/>
        <w:rPr>
          <w:rFonts w:eastAsiaTheme="minorEastAsia"/>
          <w:b w:val="0"/>
          <w:szCs w:val="24"/>
          <w:lang w:val="es-AR" w:eastAsia="ja-JP"/>
        </w:rPr>
      </w:pPr>
      <w:r w:rsidRPr="006A6D87">
        <w:rPr>
          <w:b w:val="0"/>
          <w:szCs w:val="24"/>
        </w:rPr>
        <w:t xml:space="preserve">Sanz, C., Madoz, C., Gorga, G. &amp; González, A. (2009) </w:t>
      </w:r>
      <w:r w:rsidRPr="006A6D87">
        <w:rPr>
          <w:rFonts w:eastAsiaTheme="minorEastAsia"/>
          <w:b w:val="0"/>
          <w:bCs/>
          <w:szCs w:val="24"/>
          <w:lang w:val="es-AR" w:eastAsia="ja-JP"/>
        </w:rPr>
        <w:t xml:space="preserve">La importancia de la modalidad “blended learning”. Análisis de una experiencia. </w:t>
      </w:r>
      <w:r w:rsidRPr="006A6D87">
        <w:rPr>
          <w:rFonts w:eastAsiaTheme="minorEastAsia"/>
          <w:b w:val="0"/>
          <w:bCs/>
          <w:i/>
          <w:szCs w:val="24"/>
          <w:lang w:val="es-AR" w:eastAsia="ja-JP"/>
        </w:rPr>
        <w:t>Revista Iberoamericana de Tecnología en Educación y Educación en Tecnología</w:t>
      </w:r>
      <w:r w:rsidRPr="006A6D87">
        <w:rPr>
          <w:rFonts w:eastAsiaTheme="minorEastAsia"/>
          <w:b w:val="0"/>
          <w:bCs/>
          <w:szCs w:val="24"/>
          <w:lang w:val="es-AR" w:eastAsia="ja-JP"/>
        </w:rPr>
        <w:t xml:space="preserve">, </w:t>
      </w:r>
      <w:r w:rsidRPr="006A6D87">
        <w:rPr>
          <w:rFonts w:eastAsiaTheme="minorEastAsia"/>
          <w:b w:val="0"/>
          <w:bCs/>
          <w:i/>
          <w:szCs w:val="24"/>
          <w:lang w:val="es-AR" w:eastAsia="ja-JP"/>
        </w:rPr>
        <w:t>3</w:t>
      </w:r>
      <w:r w:rsidRPr="006A6D87">
        <w:rPr>
          <w:rFonts w:eastAsiaTheme="minorEastAsia"/>
          <w:b w:val="0"/>
          <w:bCs/>
          <w:szCs w:val="24"/>
          <w:lang w:val="es-AR" w:eastAsia="ja-JP"/>
        </w:rPr>
        <w:t>, 47-54.</w:t>
      </w:r>
    </w:p>
    <w:p w14:paraId="68A682C1" w14:textId="77777777" w:rsidR="006A6D87" w:rsidRPr="006A6D87" w:rsidRDefault="006A6D87" w:rsidP="006A6D87">
      <w:pPr>
        <w:pStyle w:val="BarraTitulo"/>
        <w:pBdr>
          <w:top w:val="none" w:sz="0" w:space="0" w:color="auto"/>
          <w:left w:val="none" w:sz="0" w:space="0" w:color="auto"/>
          <w:bottom w:val="none" w:sz="0" w:space="0" w:color="auto"/>
          <w:right w:val="none" w:sz="0" w:space="0" w:color="auto"/>
        </w:pBdr>
        <w:spacing w:line="360" w:lineRule="auto"/>
        <w:ind w:left="720" w:hanging="720"/>
        <w:jc w:val="both"/>
        <w:rPr>
          <w:rFonts w:eastAsiaTheme="minorEastAsia"/>
          <w:b w:val="0"/>
          <w:szCs w:val="24"/>
          <w:lang w:val="es-AR" w:eastAsia="ja-JP"/>
        </w:rPr>
      </w:pPr>
      <w:r w:rsidRPr="006A6D87">
        <w:rPr>
          <w:rFonts w:eastAsiaTheme="minorEastAsia"/>
          <w:b w:val="0"/>
          <w:iCs/>
          <w:szCs w:val="24"/>
          <w:lang w:val="es-AR" w:eastAsia="ja-JP"/>
        </w:rPr>
        <w:t>Tejedor, F. &amp; García-Valcárcel, A. (2007). C</w:t>
      </w:r>
      <w:r w:rsidRPr="006A6D87">
        <w:rPr>
          <w:rFonts w:eastAsiaTheme="minorEastAsia"/>
          <w:b w:val="0"/>
          <w:szCs w:val="24"/>
          <w:lang w:val="es-AR" w:eastAsia="ja-JP"/>
        </w:rPr>
        <w:t xml:space="preserve">ausas del bajo rendimiento del estudiante universitario (en opinión de los profesores y alumnos). Propuestas de mejora en el marco del EEES. </w:t>
      </w:r>
      <w:r w:rsidRPr="006A6D87">
        <w:rPr>
          <w:rFonts w:eastAsiaTheme="minorEastAsia"/>
          <w:b w:val="0"/>
          <w:i/>
          <w:szCs w:val="24"/>
          <w:lang w:val="es-AR" w:eastAsia="ja-JP"/>
        </w:rPr>
        <w:t>Revista de Educación, 342</w:t>
      </w:r>
      <w:r w:rsidRPr="006A6D87">
        <w:rPr>
          <w:rFonts w:eastAsiaTheme="minorEastAsia"/>
          <w:b w:val="0"/>
          <w:szCs w:val="24"/>
          <w:lang w:val="es-AR" w:eastAsia="ja-JP"/>
        </w:rPr>
        <w:t>, 443-473.</w:t>
      </w:r>
    </w:p>
    <w:p w14:paraId="56F30CB0" w14:textId="77777777" w:rsidR="006A6D87" w:rsidRPr="006A6D87" w:rsidRDefault="006A6D87" w:rsidP="006A6D87">
      <w:pPr>
        <w:pStyle w:val="BarraTitulo"/>
        <w:pBdr>
          <w:top w:val="none" w:sz="0" w:space="0" w:color="auto"/>
          <w:left w:val="none" w:sz="0" w:space="0" w:color="auto"/>
          <w:bottom w:val="none" w:sz="0" w:space="0" w:color="auto"/>
          <w:right w:val="none" w:sz="0" w:space="0" w:color="auto"/>
        </w:pBdr>
        <w:spacing w:line="360" w:lineRule="auto"/>
        <w:ind w:left="720" w:hanging="720"/>
        <w:jc w:val="both"/>
        <w:rPr>
          <w:rFonts w:eastAsiaTheme="minorEastAsia"/>
          <w:b w:val="0"/>
          <w:szCs w:val="24"/>
          <w:lang w:val="es-AR" w:eastAsia="ja-JP"/>
        </w:rPr>
      </w:pPr>
      <w:r w:rsidRPr="006A6D87">
        <w:rPr>
          <w:rFonts w:eastAsiaTheme="minorEastAsia"/>
          <w:b w:val="0"/>
          <w:szCs w:val="24"/>
          <w:lang w:val="es-AR" w:eastAsia="ja-JP"/>
        </w:rPr>
        <w:lastRenderedPageBreak/>
        <w:t xml:space="preserve">Tejedor, F. (1998). </w:t>
      </w:r>
      <w:r w:rsidRPr="006A6D87">
        <w:rPr>
          <w:rFonts w:eastAsiaTheme="minorEastAsia"/>
          <w:b w:val="0"/>
          <w:i/>
          <w:iCs/>
          <w:szCs w:val="24"/>
          <w:lang w:val="es-AR" w:eastAsia="ja-JP"/>
        </w:rPr>
        <w:t xml:space="preserve">Los alumnos de la Universidad de Salamanca. Características y rendimiento académico. </w:t>
      </w:r>
      <w:r w:rsidRPr="006A6D87">
        <w:rPr>
          <w:rFonts w:eastAsiaTheme="minorEastAsia"/>
          <w:b w:val="0"/>
          <w:szCs w:val="24"/>
          <w:lang w:val="es-AR" w:eastAsia="ja-JP"/>
        </w:rPr>
        <w:t>Salamanca: Ediciones Universidad de Salamanca.</w:t>
      </w:r>
    </w:p>
    <w:p w14:paraId="453AAF54" w14:textId="77777777" w:rsidR="006A6D87" w:rsidRPr="006A6D87" w:rsidRDefault="006A6D87" w:rsidP="006A6D87">
      <w:pPr>
        <w:pStyle w:val="BarraTitulo"/>
        <w:pBdr>
          <w:top w:val="none" w:sz="0" w:space="0" w:color="auto"/>
          <w:left w:val="none" w:sz="0" w:space="0" w:color="auto"/>
          <w:bottom w:val="none" w:sz="0" w:space="0" w:color="auto"/>
          <w:right w:val="none" w:sz="0" w:space="0" w:color="auto"/>
        </w:pBdr>
        <w:spacing w:line="360" w:lineRule="auto"/>
        <w:ind w:left="720" w:hanging="720"/>
        <w:jc w:val="both"/>
        <w:rPr>
          <w:rFonts w:eastAsiaTheme="minorEastAsia"/>
          <w:b w:val="0"/>
          <w:szCs w:val="24"/>
          <w:lang w:val="es-AR" w:eastAsia="ja-JP"/>
        </w:rPr>
      </w:pPr>
      <w:r w:rsidRPr="006A6D87">
        <w:rPr>
          <w:rFonts w:eastAsiaTheme="minorEastAsia"/>
          <w:b w:val="0"/>
          <w:szCs w:val="24"/>
          <w:lang w:val="es-AR" w:eastAsia="ja-JP"/>
        </w:rPr>
        <w:t xml:space="preserve">Tejedor, F. (2003). Poder explicativo de algunos determinantes del rendimiento en los estudios universitarios. </w:t>
      </w:r>
      <w:r w:rsidRPr="006A6D87">
        <w:rPr>
          <w:rFonts w:eastAsiaTheme="minorEastAsia"/>
          <w:b w:val="0"/>
          <w:i/>
          <w:iCs/>
          <w:szCs w:val="24"/>
          <w:lang w:val="es-AR" w:eastAsia="ja-JP"/>
        </w:rPr>
        <w:t xml:space="preserve">Revista Española de Pedagogía, </w:t>
      </w:r>
      <w:r w:rsidRPr="006A6D87">
        <w:rPr>
          <w:rFonts w:eastAsiaTheme="minorEastAsia"/>
          <w:b w:val="0"/>
          <w:i/>
          <w:szCs w:val="24"/>
          <w:lang w:val="es-AR" w:eastAsia="ja-JP"/>
        </w:rPr>
        <w:t>61</w:t>
      </w:r>
      <w:r w:rsidRPr="006A6D87">
        <w:rPr>
          <w:rFonts w:eastAsiaTheme="minorEastAsia"/>
          <w:b w:val="0"/>
          <w:szCs w:val="24"/>
          <w:lang w:val="es-AR" w:eastAsia="ja-JP"/>
        </w:rPr>
        <w:t>(224), 5-32.</w:t>
      </w:r>
    </w:p>
    <w:p w14:paraId="7764F8DD" w14:textId="77777777" w:rsidR="006A6D87" w:rsidRPr="006A6D87" w:rsidRDefault="006A6D87" w:rsidP="006A6D87">
      <w:pPr>
        <w:pStyle w:val="BarraTitulo"/>
        <w:pBdr>
          <w:top w:val="none" w:sz="0" w:space="0" w:color="auto"/>
          <w:left w:val="none" w:sz="0" w:space="0" w:color="auto"/>
          <w:bottom w:val="none" w:sz="0" w:space="0" w:color="auto"/>
          <w:right w:val="none" w:sz="0" w:space="0" w:color="auto"/>
        </w:pBdr>
        <w:spacing w:line="360" w:lineRule="auto"/>
        <w:ind w:left="720" w:hanging="720"/>
        <w:jc w:val="both"/>
        <w:rPr>
          <w:rFonts w:eastAsiaTheme="minorEastAsia"/>
          <w:b w:val="0"/>
          <w:szCs w:val="24"/>
          <w:lang w:val="es-AR" w:eastAsia="ja-JP"/>
        </w:rPr>
      </w:pPr>
      <w:r w:rsidRPr="006A6D87">
        <w:rPr>
          <w:rFonts w:eastAsiaTheme="minorEastAsia"/>
          <w:b w:val="0"/>
          <w:szCs w:val="24"/>
          <w:lang w:val="es-AR" w:eastAsia="ja-JP"/>
        </w:rPr>
        <w:t xml:space="preserve">Tourón, J. (1984). </w:t>
      </w:r>
      <w:r w:rsidRPr="006A6D87">
        <w:rPr>
          <w:rFonts w:eastAsiaTheme="minorEastAsia"/>
          <w:b w:val="0"/>
          <w:i/>
          <w:iCs/>
          <w:szCs w:val="24"/>
          <w:lang w:val="es-AR" w:eastAsia="ja-JP"/>
        </w:rPr>
        <w:t xml:space="preserve">Factores del rendimiento académico en la Universidad. </w:t>
      </w:r>
      <w:r w:rsidRPr="006A6D87">
        <w:rPr>
          <w:rFonts w:eastAsiaTheme="minorEastAsia"/>
          <w:b w:val="0"/>
          <w:szCs w:val="24"/>
          <w:lang w:val="es-AR" w:eastAsia="ja-JP"/>
        </w:rPr>
        <w:t>Pamplona: Eunsa.</w:t>
      </w:r>
    </w:p>
    <w:p w14:paraId="77AC1DD5" w14:textId="77777777" w:rsidR="006A6D87" w:rsidRPr="006A6D87" w:rsidRDefault="006A6D87" w:rsidP="006A6D87">
      <w:pPr>
        <w:pStyle w:val="BarraTitulo"/>
        <w:pBdr>
          <w:top w:val="none" w:sz="0" w:space="0" w:color="auto"/>
          <w:left w:val="none" w:sz="0" w:space="0" w:color="auto"/>
          <w:bottom w:val="none" w:sz="0" w:space="0" w:color="auto"/>
          <w:right w:val="none" w:sz="0" w:space="0" w:color="auto"/>
        </w:pBdr>
        <w:spacing w:line="360" w:lineRule="auto"/>
        <w:ind w:left="720" w:hanging="720"/>
        <w:jc w:val="both"/>
        <w:rPr>
          <w:rFonts w:eastAsiaTheme="minorEastAsia"/>
          <w:b w:val="0"/>
          <w:szCs w:val="24"/>
          <w:lang w:val="es-AR" w:eastAsia="ja-JP"/>
        </w:rPr>
      </w:pPr>
      <w:r w:rsidRPr="006A6D87">
        <w:rPr>
          <w:rFonts w:eastAsiaTheme="minorEastAsia"/>
          <w:b w:val="0"/>
          <w:szCs w:val="24"/>
          <w:lang w:val="es-AR" w:eastAsia="ja-JP"/>
        </w:rPr>
        <w:t xml:space="preserve">Tourón, J. (1985). La predicción del rendimiento académico: procedimientos, resultados e implicaciones. </w:t>
      </w:r>
      <w:r w:rsidRPr="006A6D87">
        <w:rPr>
          <w:rFonts w:eastAsiaTheme="minorEastAsia"/>
          <w:b w:val="0"/>
          <w:i/>
          <w:szCs w:val="24"/>
          <w:lang w:val="es-AR" w:eastAsia="ja-JP"/>
        </w:rPr>
        <w:t>R</w:t>
      </w:r>
      <w:r w:rsidRPr="006A6D87">
        <w:rPr>
          <w:rFonts w:eastAsiaTheme="minorEastAsia"/>
          <w:b w:val="0"/>
          <w:bCs/>
          <w:i/>
          <w:szCs w:val="24"/>
          <w:lang w:val="es-AR" w:eastAsia="ja-JP"/>
        </w:rPr>
        <w:t>evista española de pedagogía</w:t>
      </w:r>
      <w:r w:rsidRPr="006A6D87">
        <w:rPr>
          <w:rFonts w:eastAsiaTheme="minorEastAsia"/>
          <w:b w:val="0"/>
          <w:i/>
          <w:iCs/>
          <w:szCs w:val="24"/>
          <w:lang w:val="es-AR" w:eastAsia="ja-JP"/>
        </w:rPr>
        <w:t xml:space="preserve">, </w:t>
      </w:r>
      <w:r w:rsidRPr="006A6D87">
        <w:rPr>
          <w:rFonts w:eastAsiaTheme="minorEastAsia"/>
          <w:b w:val="0"/>
          <w:i/>
          <w:szCs w:val="24"/>
          <w:lang w:val="es-AR" w:eastAsia="ja-JP"/>
        </w:rPr>
        <w:t>43</w:t>
      </w:r>
      <w:r w:rsidRPr="006A6D87">
        <w:rPr>
          <w:rFonts w:eastAsiaTheme="minorEastAsia"/>
          <w:b w:val="0"/>
          <w:szCs w:val="24"/>
          <w:lang w:val="es-AR" w:eastAsia="ja-JP"/>
        </w:rPr>
        <w:t>, 473-495.</w:t>
      </w:r>
    </w:p>
    <w:p w14:paraId="11765AEF" w14:textId="6A207DA9" w:rsidR="00120ED0" w:rsidRDefault="00120ED0" w:rsidP="008B517E">
      <w:pPr>
        <w:spacing w:line="360" w:lineRule="auto"/>
        <w:jc w:val="both"/>
        <w:rPr>
          <w:rFonts w:eastAsiaTheme="minorEastAsia"/>
          <w:noProof/>
          <w:szCs w:val="24"/>
          <w:lang w:eastAsia="ja-JP"/>
        </w:rPr>
      </w:pPr>
    </w:p>
    <w:p w14:paraId="7B81A3A4" w14:textId="77777777" w:rsidR="00120ED0" w:rsidRDefault="00120ED0" w:rsidP="008B517E">
      <w:pPr>
        <w:spacing w:line="360" w:lineRule="auto"/>
        <w:jc w:val="both"/>
        <w:rPr>
          <w:rFonts w:eastAsiaTheme="minorEastAsia"/>
          <w:noProof/>
          <w:szCs w:val="24"/>
          <w:lang w:eastAsia="ja-JP"/>
        </w:rPr>
      </w:pPr>
    </w:p>
    <w:sectPr w:rsidR="00120ED0" w:rsidSect="009032C7">
      <w:footerReference w:type="default" r:id="rId8"/>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FBEE5" w14:textId="77777777" w:rsidR="00E51C9D" w:rsidRDefault="00E51C9D" w:rsidP="003D1876">
      <w:r>
        <w:separator/>
      </w:r>
    </w:p>
  </w:endnote>
  <w:endnote w:type="continuationSeparator" w:id="0">
    <w:p w14:paraId="4F2F945E" w14:textId="77777777" w:rsidR="00E51C9D" w:rsidRDefault="00E51C9D" w:rsidP="003D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7294636"/>
      <w:docPartObj>
        <w:docPartGallery w:val="Page Numbers (Bottom of Page)"/>
        <w:docPartUnique/>
      </w:docPartObj>
    </w:sdtPr>
    <w:sdtEndPr/>
    <w:sdtContent>
      <w:p w14:paraId="45432BE4" w14:textId="1CABA130" w:rsidR="007B252C" w:rsidRDefault="007B252C">
        <w:pPr>
          <w:pStyle w:val="Piedepgina"/>
          <w:jc w:val="right"/>
        </w:pPr>
        <w:r w:rsidRPr="006F473A">
          <w:rPr>
            <w:rFonts w:ascii="Arial" w:hAnsi="Arial" w:cs="Arial"/>
            <w:sz w:val="18"/>
            <w:szCs w:val="18"/>
          </w:rPr>
          <w:fldChar w:fldCharType="begin"/>
        </w:r>
        <w:r w:rsidRPr="006F473A">
          <w:rPr>
            <w:rFonts w:ascii="Arial" w:hAnsi="Arial" w:cs="Arial"/>
            <w:sz w:val="18"/>
            <w:szCs w:val="18"/>
          </w:rPr>
          <w:instrText>PAGE   \* MERGEFORMAT</w:instrText>
        </w:r>
        <w:r w:rsidRPr="006F473A">
          <w:rPr>
            <w:rFonts w:ascii="Arial" w:hAnsi="Arial" w:cs="Arial"/>
            <w:sz w:val="18"/>
            <w:szCs w:val="18"/>
          </w:rPr>
          <w:fldChar w:fldCharType="separate"/>
        </w:r>
        <w:r w:rsidR="00725910">
          <w:rPr>
            <w:rFonts w:ascii="Arial" w:hAnsi="Arial" w:cs="Arial"/>
            <w:noProof/>
            <w:sz w:val="18"/>
            <w:szCs w:val="18"/>
          </w:rPr>
          <w:t>1</w:t>
        </w:r>
        <w:r w:rsidRPr="006F473A">
          <w:rPr>
            <w:rFonts w:ascii="Arial" w:hAnsi="Arial" w:cs="Arial"/>
            <w:sz w:val="18"/>
            <w:szCs w:val="18"/>
          </w:rPr>
          <w:fldChar w:fldCharType="end"/>
        </w:r>
      </w:p>
    </w:sdtContent>
  </w:sdt>
  <w:p w14:paraId="3CF792A9" w14:textId="77777777" w:rsidR="007B252C" w:rsidRDefault="007B25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BC03F" w14:textId="77777777" w:rsidR="00E51C9D" w:rsidRDefault="00E51C9D" w:rsidP="003D1876">
      <w:r>
        <w:separator/>
      </w:r>
    </w:p>
  </w:footnote>
  <w:footnote w:type="continuationSeparator" w:id="0">
    <w:p w14:paraId="3C4441B6" w14:textId="77777777" w:rsidR="00E51C9D" w:rsidRDefault="00E51C9D" w:rsidP="003D1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61087"/>
    <w:multiLevelType w:val="hybridMultilevel"/>
    <w:tmpl w:val="FA02E008"/>
    <w:lvl w:ilvl="0" w:tplc="945CF58E">
      <w:start w:val="25"/>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D4E111A"/>
    <w:multiLevelType w:val="multilevel"/>
    <w:tmpl w:val="952EA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400958"/>
    <w:multiLevelType w:val="hybridMultilevel"/>
    <w:tmpl w:val="A776E44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2693CB5"/>
    <w:multiLevelType w:val="hybridMultilevel"/>
    <w:tmpl w:val="E9C613E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43A10B1"/>
    <w:multiLevelType w:val="multilevel"/>
    <w:tmpl w:val="FC62D25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8D36613"/>
    <w:multiLevelType w:val="hybridMultilevel"/>
    <w:tmpl w:val="848C963C"/>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6" w15:restartNumberingAfterBreak="0">
    <w:nsid w:val="2E662E63"/>
    <w:multiLevelType w:val="hybridMultilevel"/>
    <w:tmpl w:val="93743458"/>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35571886"/>
    <w:multiLevelType w:val="hybridMultilevel"/>
    <w:tmpl w:val="5014836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3BBF4675"/>
    <w:multiLevelType w:val="hybridMultilevel"/>
    <w:tmpl w:val="805CCE5A"/>
    <w:lvl w:ilvl="0" w:tplc="F79A966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3C6E78BA"/>
    <w:multiLevelType w:val="hybridMultilevel"/>
    <w:tmpl w:val="CD18B16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3E806550"/>
    <w:multiLevelType w:val="multilevel"/>
    <w:tmpl w:val="E94456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23C4443"/>
    <w:multiLevelType w:val="multilevel"/>
    <w:tmpl w:val="24D8C1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A892C8A"/>
    <w:multiLevelType w:val="hybridMultilevel"/>
    <w:tmpl w:val="96269CB6"/>
    <w:lvl w:ilvl="0" w:tplc="4D3208B6">
      <w:start w:val="1"/>
      <w:numFmt w:val="lowerLetter"/>
      <w:lvlText w:val="%1."/>
      <w:lvlJc w:val="left"/>
      <w:pPr>
        <w:ind w:left="144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3" w15:restartNumberingAfterBreak="0">
    <w:nsid w:val="53F65A3C"/>
    <w:multiLevelType w:val="hybridMultilevel"/>
    <w:tmpl w:val="98C67988"/>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595A2D05"/>
    <w:multiLevelType w:val="hybridMultilevel"/>
    <w:tmpl w:val="E286BA5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5F447913"/>
    <w:multiLevelType w:val="multilevel"/>
    <w:tmpl w:val="580C36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A9110F"/>
    <w:multiLevelType w:val="multilevel"/>
    <w:tmpl w:val="CA22FC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8292F17"/>
    <w:multiLevelType w:val="hybridMultilevel"/>
    <w:tmpl w:val="79729378"/>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6B962B4D"/>
    <w:multiLevelType w:val="hybridMultilevel"/>
    <w:tmpl w:val="995AA79A"/>
    <w:lvl w:ilvl="0" w:tplc="F56859EE">
      <w:start w:val="1"/>
      <w:numFmt w:val="bullet"/>
      <w:lvlText w:val="-"/>
      <w:lvlJc w:val="left"/>
      <w:pPr>
        <w:ind w:left="1080" w:hanging="360"/>
      </w:pPr>
      <w:rPr>
        <w:rFonts w:ascii="Times New Roman" w:eastAsia="Times New Roman" w:hAnsi="Times New Roman" w:cs="Times New Roman"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9" w15:restartNumberingAfterBreak="0">
    <w:nsid w:val="6BD2269B"/>
    <w:multiLevelType w:val="hybridMultilevel"/>
    <w:tmpl w:val="7CBE0E0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C73F7B"/>
    <w:multiLevelType w:val="hybridMultilevel"/>
    <w:tmpl w:val="805CCE5A"/>
    <w:lvl w:ilvl="0" w:tplc="F79A966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6FFC784E"/>
    <w:multiLevelType w:val="hybridMultilevel"/>
    <w:tmpl w:val="A57066F6"/>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75E94739"/>
    <w:multiLevelType w:val="multilevel"/>
    <w:tmpl w:val="2974A5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73458A5"/>
    <w:multiLevelType w:val="hybridMultilevel"/>
    <w:tmpl w:val="65EC731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774848F9"/>
    <w:multiLevelType w:val="multilevel"/>
    <w:tmpl w:val="5CAC88B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A572C22"/>
    <w:multiLevelType w:val="hybridMultilevel"/>
    <w:tmpl w:val="818AF248"/>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7EC3556A"/>
    <w:multiLevelType w:val="hybridMultilevel"/>
    <w:tmpl w:val="FD7E807A"/>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7F9F3D48"/>
    <w:multiLevelType w:val="hybridMultilevel"/>
    <w:tmpl w:val="8CFC1F26"/>
    <w:lvl w:ilvl="0" w:tplc="2C0A0001">
      <w:numFmt w:val="bullet"/>
      <w:lvlText w:val=""/>
      <w:lvlJc w:val="left"/>
      <w:pPr>
        <w:ind w:left="720" w:hanging="360"/>
      </w:pPr>
      <w:rPr>
        <w:rFonts w:ascii="Symbol" w:eastAsia="Times New Roman"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16"/>
  </w:num>
  <w:num w:numId="4">
    <w:abstractNumId w:val="1"/>
  </w:num>
  <w:num w:numId="5">
    <w:abstractNumId w:val="9"/>
  </w:num>
  <w:num w:numId="6">
    <w:abstractNumId w:val="3"/>
  </w:num>
  <w:num w:numId="7">
    <w:abstractNumId w:val="14"/>
  </w:num>
  <w:num w:numId="8">
    <w:abstractNumId w:val="22"/>
  </w:num>
  <w:num w:numId="9">
    <w:abstractNumId w:val="10"/>
  </w:num>
  <w:num w:numId="10">
    <w:abstractNumId w:val="11"/>
  </w:num>
  <w:num w:numId="11">
    <w:abstractNumId w:val="15"/>
  </w:num>
  <w:num w:numId="12">
    <w:abstractNumId w:val="4"/>
  </w:num>
  <w:num w:numId="13">
    <w:abstractNumId w:val="24"/>
  </w:num>
  <w:num w:numId="14">
    <w:abstractNumId w:val="7"/>
  </w:num>
  <w:num w:numId="15">
    <w:abstractNumId w:val="2"/>
  </w:num>
  <w:num w:numId="16">
    <w:abstractNumId w:val="23"/>
  </w:num>
  <w:num w:numId="17">
    <w:abstractNumId w:val="6"/>
  </w:num>
  <w:num w:numId="18">
    <w:abstractNumId w:val="25"/>
  </w:num>
  <w:num w:numId="19">
    <w:abstractNumId w:val="12"/>
  </w:num>
  <w:num w:numId="20">
    <w:abstractNumId w:val="26"/>
  </w:num>
  <w:num w:numId="21">
    <w:abstractNumId w:val="13"/>
  </w:num>
  <w:num w:numId="22">
    <w:abstractNumId w:val="17"/>
  </w:num>
  <w:num w:numId="23">
    <w:abstractNumId w:val="21"/>
  </w:num>
  <w:num w:numId="24">
    <w:abstractNumId w:val="5"/>
  </w:num>
  <w:num w:numId="25">
    <w:abstractNumId w:val="19"/>
  </w:num>
  <w:num w:numId="26">
    <w:abstractNumId w:val="8"/>
  </w:num>
  <w:num w:numId="27">
    <w:abstractNumId w:val="18"/>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3A1"/>
    <w:rsid w:val="00000379"/>
    <w:rsid w:val="00001C3C"/>
    <w:rsid w:val="00002F6A"/>
    <w:rsid w:val="00005B7B"/>
    <w:rsid w:val="000063B4"/>
    <w:rsid w:val="00006DEE"/>
    <w:rsid w:val="000075D3"/>
    <w:rsid w:val="000078BC"/>
    <w:rsid w:val="000107D9"/>
    <w:rsid w:val="0001128B"/>
    <w:rsid w:val="00016EA5"/>
    <w:rsid w:val="00025DB4"/>
    <w:rsid w:val="00027AEF"/>
    <w:rsid w:val="00030268"/>
    <w:rsid w:val="0003475F"/>
    <w:rsid w:val="000361E1"/>
    <w:rsid w:val="00036D2A"/>
    <w:rsid w:val="00042013"/>
    <w:rsid w:val="00042797"/>
    <w:rsid w:val="00043727"/>
    <w:rsid w:val="0004478A"/>
    <w:rsid w:val="000467D5"/>
    <w:rsid w:val="00047CF8"/>
    <w:rsid w:val="0005069E"/>
    <w:rsid w:val="00051F0D"/>
    <w:rsid w:val="00052023"/>
    <w:rsid w:val="00052A7D"/>
    <w:rsid w:val="0005488E"/>
    <w:rsid w:val="00054E86"/>
    <w:rsid w:val="00055CAF"/>
    <w:rsid w:val="000670E0"/>
    <w:rsid w:val="000718BC"/>
    <w:rsid w:val="000726EB"/>
    <w:rsid w:val="00073660"/>
    <w:rsid w:val="0007387F"/>
    <w:rsid w:val="0007586C"/>
    <w:rsid w:val="000766A7"/>
    <w:rsid w:val="00080563"/>
    <w:rsid w:val="00082A54"/>
    <w:rsid w:val="00085B4F"/>
    <w:rsid w:val="00090812"/>
    <w:rsid w:val="00091137"/>
    <w:rsid w:val="000A799B"/>
    <w:rsid w:val="000B27F4"/>
    <w:rsid w:val="000B2A0F"/>
    <w:rsid w:val="000B59CE"/>
    <w:rsid w:val="000B75E3"/>
    <w:rsid w:val="000B792A"/>
    <w:rsid w:val="000C0BEB"/>
    <w:rsid w:val="000C4F84"/>
    <w:rsid w:val="000C7235"/>
    <w:rsid w:val="000C7872"/>
    <w:rsid w:val="000D0FA5"/>
    <w:rsid w:val="000D2808"/>
    <w:rsid w:val="000E19AD"/>
    <w:rsid w:val="000E23F0"/>
    <w:rsid w:val="000E26D7"/>
    <w:rsid w:val="000E2C34"/>
    <w:rsid w:val="000E4885"/>
    <w:rsid w:val="000E50FF"/>
    <w:rsid w:val="000F1F10"/>
    <w:rsid w:val="000F370E"/>
    <w:rsid w:val="000F3A98"/>
    <w:rsid w:val="000F5F59"/>
    <w:rsid w:val="00111172"/>
    <w:rsid w:val="00111F83"/>
    <w:rsid w:val="001148D3"/>
    <w:rsid w:val="0011548E"/>
    <w:rsid w:val="00116A7B"/>
    <w:rsid w:val="00120ED0"/>
    <w:rsid w:val="001243BD"/>
    <w:rsid w:val="001271A1"/>
    <w:rsid w:val="00131E56"/>
    <w:rsid w:val="001320A8"/>
    <w:rsid w:val="00137F00"/>
    <w:rsid w:val="00151B8D"/>
    <w:rsid w:val="00157B94"/>
    <w:rsid w:val="001608B2"/>
    <w:rsid w:val="0016172D"/>
    <w:rsid w:val="00167ED8"/>
    <w:rsid w:val="0017550E"/>
    <w:rsid w:val="0017566D"/>
    <w:rsid w:val="00175C5D"/>
    <w:rsid w:val="00176DEE"/>
    <w:rsid w:val="0018129B"/>
    <w:rsid w:val="0018164A"/>
    <w:rsid w:val="001845E0"/>
    <w:rsid w:val="00186A33"/>
    <w:rsid w:val="00192322"/>
    <w:rsid w:val="00193796"/>
    <w:rsid w:val="00194B18"/>
    <w:rsid w:val="001967B7"/>
    <w:rsid w:val="001A26DF"/>
    <w:rsid w:val="001A5D24"/>
    <w:rsid w:val="001B5318"/>
    <w:rsid w:val="001C374E"/>
    <w:rsid w:val="001C445D"/>
    <w:rsid w:val="001D362C"/>
    <w:rsid w:val="001E0692"/>
    <w:rsid w:val="001E63AB"/>
    <w:rsid w:val="001E79EF"/>
    <w:rsid w:val="001F2687"/>
    <w:rsid w:val="001F6062"/>
    <w:rsid w:val="001F6F73"/>
    <w:rsid w:val="001F7AC6"/>
    <w:rsid w:val="00204917"/>
    <w:rsid w:val="00205560"/>
    <w:rsid w:val="0021533C"/>
    <w:rsid w:val="002224D3"/>
    <w:rsid w:val="00224AED"/>
    <w:rsid w:val="00225294"/>
    <w:rsid w:val="002275B3"/>
    <w:rsid w:val="00236258"/>
    <w:rsid w:val="002362BF"/>
    <w:rsid w:val="00246EA2"/>
    <w:rsid w:val="0025529B"/>
    <w:rsid w:val="00256211"/>
    <w:rsid w:val="00260776"/>
    <w:rsid w:val="002609C1"/>
    <w:rsid w:val="00262B34"/>
    <w:rsid w:val="0027077D"/>
    <w:rsid w:val="00270B09"/>
    <w:rsid w:val="00271134"/>
    <w:rsid w:val="0027283D"/>
    <w:rsid w:val="002728F7"/>
    <w:rsid w:val="0027574F"/>
    <w:rsid w:val="002762FA"/>
    <w:rsid w:val="00276CAF"/>
    <w:rsid w:val="00277D31"/>
    <w:rsid w:val="00280B9F"/>
    <w:rsid w:val="002863EE"/>
    <w:rsid w:val="002915B2"/>
    <w:rsid w:val="00295E17"/>
    <w:rsid w:val="002A24F8"/>
    <w:rsid w:val="002A55DC"/>
    <w:rsid w:val="002A5DBB"/>
    <w:rsid w:val="002B0C23"/>
    <w:rsid w:val="002B30D1"/>
    <w:rsid w:val="002B3E01"/>
    <w:rsid w:val="002B7B28"/>
    <w:rsid w:val="002C5240"/>
    <w:rsid w:val="002C7A9F"/>
    <w:rsid w:val="002D0962"/>
    <w:rsid w:val="002D547B"/>
    <w:rsid w:val="002D6A28"/>
    <w:rsid w:val="002F0F83"/>
    <w:rsid w:val="002F1F01"/>
    <w:rsid w:val="002F425F"/>
    <w:rsid w:val="002F4526"/>
    <w:rsid w:val="002F62EF"/>
    <w:rsid w:val="00305A4B"/>
    <w:rsid w:val="0031323E"/>
    <w:rsid w:val="00313A0E"/>
    <w:rsid w:val="003153B1"/>
    <w:rsid w:val="003200DD"/>
    <w:rsid w:val="0032397F"/>
    <w:rsid w:val="00326670"/>
    <w:rsid w:val="00330B2E"/>
    <w:rsid w:val="00337128"/>
    <w:rsid w:val="00337FF3"/>
    <w:rsid w:val="003428E8"/>
    <w:rsid w:val="00350B6B"/>
    <w:rsid w:val="003544E5"/>
    <w:rsid w:val="00354673"/>
    <w:rsid w:val="00362BCD"/>
    <w:rsid w:val="00377E95"/>
    <w:rsid w:val="003815EE"/>
    <w:rsid w:val="00381704"/>
    <w:rsid w:val="00394BB8"/>
    <w:rsid w:val="00394DDA"/>
    <w:rsid w:val="003957FB"/>
    <w:rsid w:val="00395829"/>
    <w:rsid w:val="00396AB8"/>
    <w:rsid w:val="003977DB"/>
    <w:rsid w:val="00397A46"/>
    <w:rsid w:val="003A41BA"/>
    <w:rsid w:val="003A4B4E"/>
    <w:rsid w:val="003A4F22"/>
    <w:rsid w:val="003A525C"/>
    <w:rsid w:val="003B0C51"/>
    <w:rsid w:val="003B2786"/>
    <w:rsid w:val="003B3C6B"/>
    <w:rsid w:val="003B53F3"/>
    <w:rsid w:val="003B5F51"/>
    <w:rsid w:val="003C09A5"/>
    <w:rsid w:val="003C44D4"/>
    <w:rsid w:val="003C4D14"/>
    <w:rsid w:val="003C50E7"/>
    <w:rsid w:val="003D1876"/>
    <w:rsid w:val="003D28D6"/>
    <w:rsid w:val="003D64A1"/>
    <w:rsid w:val="003D6507"/>
    <w:rsid w:val="003F154B"/>
    <w:rsid w:val="003F3042"/>
    <w:rsid w:val="003F54B6"/>
    <w:rsid w:val="003F758E"/>
    <w:rsid w:val="004001A8"/>
    <w:rsid w:val="004030EC"/>
    <w:rsid w:val="00407B85"/>
    <w:rsid w:val="00410876"/>
    <w:rsid w:val="00416B45"/>
    <w:rsid w:val="00422DFA"/>
    <w:rsid w:val="004244DB"/>
    <w:rsid w:val="004252E6"/>
    <w:rsid w:val="00427F6A"/>
    <w:rsid w:val="004339C1"/>
    <w:rsid w:val="00433CDD"/>
    <w:rsid w:val="00443B00"/>
    <w:rsid w:val="00447AC2"/>
    <w:rsid w:val="00447F88"/>
    <w:rsid w:val="00453F25"/>
    <w:rsid w:val="00454BCD"/>
    <w:rsid w:val="00454C32"/>
    <w:rsid w:val="004560B3"/>
    <w:rsid w:val="00456874"/>
    <w:rsid w:val="00457324"/>
    <w:rsid w:val="00457CDB"/>
    <w:rsid w:val="0046242B"/>
    <w:rsid w:val="00464DA3"/>
    <w:rsid w:val="00467C4B"/>
    <w:rsid w:val="00470F41"/>
    <w:rsid w:val="004711BA"/>
    <w:rsid w:val="00471987"/>
    <w:rsid w:val="00475F78"/>
    <w:rsid w:val="00480FA8"/>
    <w:rsid w:val="00485988"/>
    <w:rsid w:val="00485B4D"/>
    <w:rsid w:val="0049141C"/>
    <w:rsid w:val="004939F0"/>
    <w:rsid w:val="004959AB"/>
    <w:rsid w:val="004A2D6D"/>
    <w:rsid w:val="004A6D06"/>
    <w:rsid w:val="004B071E"/>
    <w:rsid w:val="004B18AC"/>
    <w:rsid w:val="004B1BDE"/>
    <w:rsid w:val="004B42B1"/>
    <w:rsid w:val="004C17DF"/>
    <w:rsid w:val="004C2F7D"/>
    <w:rsid w:val="004C3ACC"/>
    <w:rsid w:val="004C3B58"/>
    <w:rsid w:val="004D36BC"/>
    <w:rsid w:val="004D5131"/>
    <w:rsid w:val="004E0DFA"/>
    <w:rsid w:val="004E2811"/>
    <w:rsid w:val="004E447E"/>
    <w:rsid w:val="004E4AB6"/>
    <w:rsid w:val="004E4B74"/>
    <w:rsid w:val="004E66A5"/>
    <w:rsid w:val="004F1B68"/>
    <w:rsid w:val="004F4532"/>
    <w:rsid w:val="004F6D8C"/>
    <w:rsid w:val="00503351"/>
    <w:rsid w:val="00506634"/>
    <w:rsid w:val="00506B16"/>
    <w:rsid w:val="005154CD"/>
    <w:rsid w:val="0051615F"/>
    <w:rsid w:val="00516737"/>
    <w:rsid w:val="005233F7"/>
    <w:rsid w:val="00523999"/>
    <w:rsid w:val="005247F4"/>
    <w:rsid w:val="00525E58"/>
    <w:rsid w:val="0052673E"/>
    <w:rsid w:val="0052697C"/>
    <w:rsid w:val="00530C60"/>
    <w:rsid w:val="00531A48"/>
    <w:rsid w:val="0053269E"/>
    <w:rsid w:val="005334FF"/>
    <w:rsid w:val="0053581E"/>
    <w:rsid w:val="00541006"/>
    <w:rsid w:val="00541029"/>
    <w:rsid w:val="00541202"/>
    <w:rsid w:val="005416FF"/>
    <w:rsid w:val="00541921"/>
    <w:rsid w:val="0054241A"/>
    <w:rsid w:val="00545CD4"/>
    <w:rsid w:val="00550250"/>
    <w:rsid w:val="005551EB"/>
    <w:rsid w:val="00560B45"/>
    <w:rsid w:val="00560C75"/>
    <w:rsid w:val="00560D1F"/>
    <w:rsid w:val="00561A0D"/>
    <w:rsid w:val="00561A10"/>
    <w:rsid w:val="00580EC5"/>
    <w:rsid w:val="00581C60"/>
    <w:rsid w:val="00582AAA"/>
    <w:rsid w:val="00583CD0"/>
    <w:rsid w:val="00584151"/>
    <w:rsid w:val="00595C73"/>
    <w:rsid w:val="00596D5C"/>
    <w:rsid w:val="005974A0"/>
    <w:rsid w:val="005A3845"/>
    <w:rsid w:val="005A5AB3"/>
    <w:rsid w:val="005A6E45"/>
    <w:rsid w:val="005B2E0C"/>
    <w:rsid w:val="005B46E8"/>
    <w:rsid w:val="005B5447"/>
    <w:rsid w:val="005B6D43"/>
    <w:rsid w:val="005C132B"/>
    <w:rsid w:val="005C283B"/>
    <w:rsid w:val="005C5863"/>
    <w:rsid w:val="005C7892"/>
    <w:rsid w:val="005C7CF1"/>
    <w:rsid w:val="005D0814"/>
    <w:rsid w:val="005D14A1"/>
    <w:rsid w:val="005D3BAC"/>
    <w:rsid w:val="005D5065"/>
    <w:rsid w:val="005D6425"/>
    <w:rsid w:val="005D6FE5"/>
    <w:rsid w:val="005E13C0"/>
    <w:rsid w:val="005E26FF"/>
    <w:rsid w:val="005E4E08"/>
    <w:rsid w:val="005E50E8"/>
    <w:rsid w:val="005F2B8E"/>
    <w:rsid w:val="005F4B3C"/>
    <w:rsid w:val="005F7BDF"/>
    <w:rsid w:val="0060009D"/>
    <w:rsid w:val="00602727"/>
    <w:rsid w:val="00604F64"/>
    <w:rsid w:val="006054DB"/>
    <w:rsid w:val="00607611"/>
    <w:rsid w:val="00610D0A"/>
    <w:rsid w:val="00616011"/>
    <w:rsid w:val="00617077"/>
    <w:rsid w:val="0061751D"/>
    <w:rsid w:val="00620511"/>
    <w:rsid w:val="00621441"/>
    <w:rsid w:val="006223D4"/>
    <w:rsid w:val="00624464"/>
    <w:rsid w:val="00625223"/>
    <w:rsid w:val="00631151"/>
    <w:rsid w:val="0063489B"/>
    <w:rsid w:val="006402FB"/>
    <w:rsid w:val="0064668E"/>
    <w:rsid w:val="00647264"/>
    <w:rsid w:val="006515BF"/>
    <w:rsid w:val="00657F8F"/>
    <w:rsid w:val="0066131B"/>
    <w:rsid w:val="00661DB7"/>
    <w:rsid w:val="006669F9"/>
    <w:rsid w:val="00670CD7"/>
    <w:rsid w:val="006733D9"/>
    <w:rsid w:val="00673B59"/>
    <w:rsid w:val="006803DA"/>
    <w:rsid w:val="00682BA5"/>
    <w:rsid w:val="00687A3E"/>
    <w:rsid w:val="00694857"/>
    <w:rsid w:val="00694E7F"/>
    <w:rsid w:val="00695660"/>
    <w:rsid w:val="006963E4"/>
    <w:rsid w:val="006A1CF8"/>
    <w:rsid w:val="006A2213"/>
    <w:rsid w:val="006A6D87"/>
    <w:rsid w:val="006A6E40"/>
    <w:rsid w:val="006A6EAC"/>
    <w:rsid w:val="006A713C"/>
    <w:rsid w:val="006A7F7A"/>
    <w:rsid w:val="006B2D07"/>
    <w:rsid w:val="006B47DD"/>
    <w:rsid w:val="006B6309"/>
    <w:rsid w:val="006C0383"/>
    <w:rsid w:val="006D0826"/>
    <w:rsid w:val="006D2E0C"/>
    <w:rsid w:val="006E1B68"/>
    <w:rsid w:val="006F14DE"/>
    <w:rsid w:val="006F473A"/>
    <w:rsid w:val="006F6248"/>
    <w:rsid w:val="006F7256"/>
    <w:rsid w:val="006F7DCB"/>
    <w:rsid w:val="00702C13"/>
    <w:rsid w:val="007031CF"/>
    <w:rsid w:val="00704474"/>
    <w:rsid w:val="00705360"/>
    <w:rsid w:val="007103DE"/>
    <w:rsid w:val="00717789"/>
    <w:rsid w:val="0072011C"/>
    <w:rsid w:val="00721FB8"/>
    <w:rsid w:val="00725910"/>
    <w:rsid w:val="00734E6C"/>
    <w:rsid w:val="00735799"/>
    <w:rsid w:val="00737933"/>
    <w:rsid w:val="007448B9"/>
    <w:rsid w:val="0074622D"/>
    <w:rsid w:val="00746CC5"/>
    <w:rsid w:val="0075088D"/>
    <w:rsid w:val="007518AC"/>
    <w:rsid w:val="00751D8D"/>
    <w:rsid w:val="00753EA8"/>
    <w:rsid w:val="00763C54"/>
    <w:rsid w:val="00765606"/>
    <w:rsid w:val="00766D91"/>
    <w:rsid w:val="0077479B"/>
    <w:rsid w:val="00776783"/>
    <w:rsid w:val="00776B0E"/>
    <w:rsid w:val="00782522"/>
    <w:rsid w:val="00784CC1"/>
    <w:rsid w:val="0078546D"/>
    <w:rsid w:val="00785798"/>
    <w:rsid w:val="00790BFB"/>
    <w:rsid w:val="0079260F"/>
    <w:rsid w:val="00795B67"/>
    <w:rsid w:val="00796FEA"/>
    <w:rsid w:val="00797EBC"/>
    <w:rsid w:val="007A080C"/>
    <w:rsid w:val="007A191E"/>
    <w:rsid w:val="007A3FBF"/>
    <w:rsid w:val="007B1A64"/>
    <w:rsid w:val="007B252C"/>
    <w:rsid w:val="007B4826"/>
    <w:rsid w:val="007C014C"/>
    <w:rsid w:val="007C746E"/>
    <w:rsid w:val="007D2325"/>
    <w:rsid w:val="007D5D35"/>
    <w:rsid w:val="007D5EBA"/>
    <w:rsid w:val="007E3474"/>
    <w:rsid w:val="007E4036"/>
    <w:rsid w:val="007E47D3"/>
    <w:rsid w:val="00805269"/>
    <w:rsid w:val="008065CF"/>
    <w:rsid w:val="00810042"/>
    <w:rsid w:val="00811B36"/>
    <w:rsid w:val="00813133"/>
    <w:rsid w:val="008139FD"/>
    <w:rsid w:val="00813F91"/>
    <w:rsid w:val="0081781B"/>
    <w:rsid w:val="00820A7C"/>
    <w:rsid w:val="00822547"/>
    <w:rsid w:val="00830E8E"/>
    <w:rsid w:val="00830EC6"/>
    <w:rsid w:val="00832C3C"/>
    <w:rsid w:val="0083697C"/>
    <w:rsid w:val="00837DDC"/>
    <w:rsid w:val="00844A68"/>
    <w:rsid w:val="0084536F"/>
    <w:rsid w:val="008466B0"/>
    <w:rsid w:val="008532C5"/>
    <w:rsid w:val="00855780"/>
    <w:rsid w:val="00857484"/>
    <w:rsid w:val="00860D59"/>
    <w:rsid w:val="00865B1A"/>
    <w:rsid w:val="00867723"/>
    <w:rsid w:val="008713E2"/>
    <w:rsid w:val="008738A2"/>
    <w:rsid w:val="0088237E"/>
    <w:rsid w:val="00885B12"/>
    <w:rsid w:val="00886801"/>
    <w:rsid w:val="00890F5E"/>
    <w:rsid w:val="008944BF"/>
    <w:rsid w:val="008969DC"/>
    <w:rsid w:val="008A150F"/>
    <w:rsid w:val="008A199E"/>
    <w:rsid w:val="008A76FF"/>
    <w:rsid w:val="008B517E"/>
    <w:rsid w:val="008C30B1"/>
    <w:rsid w:val="008C3E1E"/>
    <w:rsid w:val="008C5162"/>
    <w:rsid w:val="008D069F"/>
    <w:rsid w:val="008D3E61"/>
    <w:rsid w:val="008D61A0"/>
    <w:rsid w:val="008E1F48"/>
    <w:rsid w:val="008E3EBF"/>
    <w:rsid w:val="008E6BC9"/>
    <w:rsid w:val="009032C7"/>
    <w:rsid w:val="009037CE"/>
    <w:rsid w:val="00910978"/>
    <w:rsid w:val="009119FE"/>
    <w:rsid w:val="009145E6"/>
    <w:rsid w:val="00915769"/>
    <w:rsid w:val="009173BF"/>
    <w:rsid w:val="00917E53"/>
    <w:rsid w:val="00924314"/>
    <w:rsid w:val="00924361"/>
    <w:rsid w:val="00926EB4"/>
    <w:rsid w:val="009276E6"/>
    <w:rsid w:val="00930B95"/>
    <w:rsid w:val="00932386"/>
    <w:rsid w:val="00937264"/>
    <w:rsid w:val="009373B2"/>
    <w:rsid w:val="00944E49"/>
    <w:rsid w:val="00945269"/>
    <w:rsid w:val="00952D61"/>
    <w:rsid w:val="00955D0E"/>
    <w:rsid w:val="0095755C"/>
    <w:rsid w:val="0096081F"/>
    <w:rsid w:val="009612E4"/>
    <w:rsid w:val="009634A3"/>
    <w:rsid w:val="00971BF7"/>
    <w:rsid w:val="009741FD"/>
    <w:rsid w:val="0097618C"/>
    <w:rsid w:val="00981761"/>
    <w:rsid w:val="00982E69"/>
    <w:rsid w:val="009838ED"/>
    <w:rsid w:val="00986DAE"/>
    <w:rsid w:val="00991BAF"/>
    <w:rsid w:val="0099642A"/>
    <w:rsid w:val="009A4809"/>
    <w:rsid w:val="009A522B"/>
    <w:rsid w:val="009A72C9"/>
    <w:rsid w:val="009B0612"/>
    <w:rsid w:val="009B09D0"/>
    <w:rsid w:val="009B6A19"/>
    <w:rsid w:val="009C1A54"/>
    <w:rsid w:val="009C3407"/>
    <w:rsid w:val="009C538C"/>
    <w:rsid w:val="009C5593"/>
    <w:rsid w:val="009C6276"/>
    <w:rsid w:val="009D5102"/>
    <w:rsid w:val="009D5583"/>
    <w:rsid w:val="009D60AD"/>
    <w:rsid w:val="009D65C9"/>
    <w:rsid w:val="009E0841"/>
    <w:rsid w:val="009E19DE"/>
    <w:rsid w:val="009E227B"/>
    <w:rsid w:val="009E23A1"/>
    <w:rsid w:val="009E25C1"/>
    <w:rsid w:val="009E28ED"/>
    <w:rsid w:val="009E3FDD"/>
    <w:rsid w:val="009E4B45"/>
    <w:rsid w:val="009E522B"/>
    <w:rsid w:val="009F190D"/>
    <w:rsid w:val="009F26CD"/>
    <w:rsid w:val="00A02974"/>
    <w:rsid w:val="00A0371B"/>
    <w:rsid w:val="00A056D6"/>
    <w:rsid w:val="00A06D31"/>
    <w:rsid w:val="00A07A5C"/>
    <w:rsid w:val="00A15852"/>
    <w:rsid w:val="00A164A0"/>
    <w:rsid w:val="00A16615"/>
    <w:rsid w:val="00A1780D"/>
    <w:rsid w:val="00A20751"/>
    <w:rsid w:val="00A20D42"/>
    <w:rsid w:val="00A22B7F"/>
    <w:rsid w:val="00A362EC"/>
    <w:rsid w:val="00A42282"/>
    <w:rsid w:val="00A430B4"/>
    <w:rsid w:val="00A46190"/>
    <w:rsid w:val="00A52911"/>
    <w:rsid w:val="00A539A0"/>
    <w:rsid w:val="00A672B5"/>
    <w:rsid w:val="00A70510"/>
    <w:rsid w:val="00A7318D"/>
    <w:rsid w:val="00A73B50"/>
    <w:rsid w:val="00A7701D"/>
    <w:rsid w:val="00A82255"/>
    <w:rsid w:val="00A823F7"/>
    <w:rsid w:val="00A8286E"/>
    <w:rsid w:val="00A83D47"/>
    <w:rsid w:val="00A83F6C"/>
    <w:rsid w:val="00A84596"/>
    <w:rsid w:val="00A85BFF"/>
    <w:rsid w:val="00A86EF0"/>
    <w:rsid w:val="00A922CA"/>
    <w:rsid w:val="00A946FE"/>
    <w:rsid w:val="00A94882"/>
    <w:rsid w:val="00AA12AE"/>
    <w:rsid w:val="00AA28CF"/>
    <w:rsid w:val="00AA69B2"/>
    <w:rsid w:val="00AA79F0"/>
    <w:rsid w:val="00AB0ACA"/>
    <w:rsid w:val="00AB174C"/>
    <w:rsid w:val="00AB4D89"/>
    <w:rsid w:val="00AB5511"/>
    <w:rsid w:val="00AB6916"/>
    <w:rsid w:val="00AC7874"/>
    <w:rsid w:val="00AC7A4C"/>
    <w:rsid w:val="00AD0513"/>
    <w:rsid w:val="00AD79CF"/>
    <w:rsid w:val="00AF2B07"/>
    <w:rsid w:val="00AF393E"/>
    <w:rsid w:val="00B01405"/>
    <w:rsid w:val="00B02595"/>
    <w:rsid w:val="00B03086"/>
    <w:rsid w:val="00B04EDA"/>
    <w:rsid w:val="00B103E4"/>
    <w:rsid w:val="00B11A92"/>
    <w:rsid w:val="00B1202B"/>
    <w:rsid w:val="00B128C7"/>
    <w:rsid w:val="00B15B9F"/>
    <w:rsid w:val="00B15D8D"/>
    <w:rsid w:val="00B17AA1"/>
    <w:rsid w:val="00B21945"/>
    <w:rsid w:val="00B21C1E"/>
    <w:rsid w:val="00B22DCD"/>
    <w:rsid w:val="00B23580"/>
    <w:rsid w:val="00B23FDD"/>
    <w:rsid w:val="00B25E1C"/>
    <w:rsid w:val="00B31151"/>
    <w:rsid w:val="00B33E11"/>
    <w:rsid w:val="00B34E34"/>
    <w:rsid w:val="00B3696A"/>
    <w:rsid w:val="00B37855"/>
    <w:rsid w:val="00B37896"/>
    <w:rsid w:val="00B419F8"/>
    <w:rsid w:val="00B41C3B"/>
    <w:rsid w:val="00B42E40"/>
    <w:rsid w:val="00B43C2C"/>
    <w:rsid w:val="00B447DA"/>
    <w:rsid w:val="00B45A2C"/>
    <w:rsid w:val="00B50AE1"/>
    <w:rsid w:val="00B564DB"/>
    <w:rsid w:val="00B610F0"/>
    <w:rsid w:val="00B65615"/>
    <w:rsid w:val="00B751FF"/>
    <w:rsid w:val="00B75891"/>
    <w:rsid w:val="00B7654A"/>
    <w:rsid w:val="00B77561"/>
    <w:rsid w:val="00B77929"/>
    <w:rsid w:val="00B80B75"/>
    <w:rsid w:val="00B825DC"/>
    <w:rsid w:val="00B85BD7"/>
    <w:rsid w:val="00B86931"/>
    <w:rsid w:val="00B90DAC"/>
    <w:rsid w:val="00B96F1B"/>
    <w:rsid w:val="00BA0288"/>
    <w:rsid w:val="00BA3E9A"/>
    <w:rsid w:val="00BA41D5"/>
    <w:rsid w:val="00BA48FF"/>
    <w:rsid w:val="00BA6117"/>
    <w:rsid w:val="00BA6261"/>
    <w:rsid w:val="00BB397B"/>
    <w:rsid w:val="00BC065F"/>
    <w:rsid w:val="00BC0D5B"/>
    <w:rsid w:val="00BC1179"/>
    <w:rsid w:val="00BC217B"/>
    <w:rsid w:val="00BC67BE"/>
    <w:rsid w:val="00BE1145"/>
    <w:rsid w:val="00BE1422"/>
    <w:rsid w:val="00BE21A7"/>
    <w:rsid w:val="00BE5936"/>
    <w:rsid w:val="00BF39FD"/>
    <w:rsid w:val="00BF4669"/>
    <w:rsid w:val="00BF7DCE"/>
    <w:rsid w:val="00C01180"/>
    <w:rsid w:val="00C01641"/>
    <w:rsid w:val="00C13BB5"/>
    <w:rsid w:val="00C13FE6"/>
    <w:rsid w:val="00C203D3"/>
    <w:rsid w:val="00C207D7"/>
    <w:rsid w:val="00C254D6"/>
    <w:rsid w:val="00C26991"/>
    <w:rsid w:val="00C30BE9"/>
    <w:rsid w:val="00C37C6A"/>
    <w:rsid w:val="00C37FF4"/>
    <w:rsid w:val="00C4296D"/>
    <w:rsid w:val="00C43B1D"/>
    <w:rsid w:val="00C44DF9"/>
    <w:rsid w:val="00C45990"/>
    <w:rsid w:val="00C45D27"/>
    <w:rsid w:val="00C4645D"/>
    <w:rsid w:val="00C51EB4"/>
    <w:rsid w:val="00C54D7E"/>
    <w:rsid w:val="00C55853"/>
    <w:rsid w:val="00C5643A"/>
    <w:rsid w:val="00C57560"/>
    <w:rsid w:val="00C57A53"/>
    <w:rsid w:val="00C61A0C"/>
    <w:rsid w:val="00C61EC9"/>
    <w:rsid w:val="00C653DF"/>
    <w:rsid w:val="00C72936"/>
    <w:rsid w:val="00C74A4F"/>
    <w:rsid w:val="00C76A0F"/>
    <w:rsid w:val="00C8432F"/>
    <w:rsid w:val="00C9559E"/>
    <w:rsid w:val="00C963B8"/>
    <w:rsid w:val="00C96845"/>
    <w:rsid w:val="00C96B0A"/>
    <w:rsid w:val="00CA2479"/>
    <w:rsid w:val="00CA2C50"/>
    <w:rsid w:val="00CA30BA"/>
    <w:rsid w:val="00CA3B66"/>
    <w:rsid w:val="00CA432F"/>
    <w:rsid w:val="00CA5792"/>
    <w:rsid w:val="00CB3D3E"/>
    <w:rsid w:val="00CB5D63"/>
    <w:rsid w:val="00CC47C6"/>
    <w:rsid w:val="00CC4AB8"/>
    <w:rsid w:val="00CC556A"/>
    <w:rsid w:val="00CC63CD"/>
    <w:rsid w:val="00CD3D7F"/>
    <w:rsid w:val="00CD6227"/>
    <w:rsid w:val="00CD6288"/>
    <w:rsid w:val="00CE79F4"/>
    <w:rsid w:val="00CF0108"/>
    <w:rsid w:val="00CF01F0"/>
    <w:rsid w:val="00CF1889"/>
    <w:rsid w:val="00CF2F68"/>
    <w:rsid w:val="00CF78C1"/>
    <w:rsid w:val="00D100CF"/>
    <w:rsid w:val="00D11151"/>
    <w:rsid w:val="00D11EB1"/>
    <w:rsid w:val="00D12262"/>
    <w:rsid w:val="00D14400"/>
    <w:rsid w:val="00D14811"/>
    <w:rsid w:val="00D16F01"/>
    <w:rsid w:val="00D170BF"/>
    <w:rsid w:val="00D17D06"/>
    <w:rsid w:val="00D2549C"/>
    <w:rsid w:val="00D26CCB"/>
    <w:rsid w:val="00D270C0"/>
    <w:rsid w:val="00D32967"/>
    <w:rsid w:val="00D36F17"/>
    <w:rsid w:val="00D40F38"/>
    <w:rsid w:val="00D44164"/>
    <w:rsid w:val="00D4565F"/>
    <w:rsid w:val="00D51E1F"/>
    <w:rsid w:val="00D52F61"/>
    <w:rsid w:val="00D54F95"/>
    <w:rsid w:val="00D575DF"/>
    <w:rsid w:val="00D62EEF"/>
    <w:rsid w:val="00D64266"/>
    <w:rsid w:val="00D65583"/>
    <w:rsid w:val="00D71AC5"/>
    <w:rsid w:val="00D77548"/>
    <w:rsid w:val="00D82717"/>
    <w:rsid w:val="00D83963"/>
    <w:rsid w:val="00D83E8B"/>
    <w:rsid w:val="00D857BB"/>
    <w:rsid w:val="00D87834"/>
    <w:rsid w:val="00D9158B"/>
    <w:rsid w:val="00D94579"/>
    <w:rsid w:val="00D957E1"/>
    <w:rsid w:val="00D976F2"/>
    <w:rsid w:val="00DA4A01"/>
    <w:rsid w:val="00DA69DC"/>
    <w:rsid w:val="00DB20D7"/>
    <w:rsid w:val="00DB2BB7"/>
    <w:rsid w:val="00DC1258"/>
    <w:rsid w:val="00DC6D02"/>
    <w:rsid w:val="00DC7578"/>
    <w:rsid w:val="00DD001C"/>
    <w:rsid w:val="00DD3C99"/>
    <w:rsid w:val="00DE1B04"/>
    <w:rsid w:val="00DE1C41"/>
    <w:rsid w:val="00DE36DA"/>
    <w:rsid w:val="00DE7CC6"/>
    <w:rsid w:val="00DE7D16"/>
    <w:rsid w:val="00DE7DF0"/>
    <w:rsid w:val="00DF2ABE"/>
    <w:rsid w:val="00DF44D7"/>
    <w:rsid w:val="00DF4A49"/>
    <w:rsid w:val="00E01C7E"/>
    <w:rsid w:val="00E038E7"/>
    <w:rsid w:val="00E13815"/>
    <w:rsid w:val="00E23281"/>
    <w:rsid w:val="00E24400"/>
    <w:rsid w:val="00E257D7"/>
    <w:rsid w:val="00E270E6"/>
    <w:rsid w:val="00E27F8C"/>
    <w:rsid w:val="00E30F0E"/>
    <w:rsid w:val="00E3111F"/>
    <w:rsid w:val="00E32881"/>
    <w:rsid w:val="00E34124"/>
    <w:rsid w:val="00E359B9"/>
    <w:rsid w:val="00E35CC3"/>
    <w:rsid w:val="00E47D68"/>
    <w:rsid w:val="00E50632"/>
    <w:rsid w:val="00E50B91"/>
    <w:rsid w:val="00E51A69"/>
    <w:rsid w:val="00E51B2B"/>
    <w:rsid w:val="00E51C9D"/>
    <w:rsid w:val="00E5248B"/>
    <w:rsid w:val="00E5480C"/>
    <w:rsid w:val="00E566F3"/>
    <w:rsid w:val="00E621D2"/>
    <w:rsid w:val="00E6353B"/>
    <w:rsid w:val="00E642F1"/>
    <w:rsid w:val="00E677A2"/>
    <w:rsid w:val="00E71766"/>
    <w:rsid w:val="00E727FF"/>
    <w:rsid w:val="00E7430F"/>
    <w:rsid w:val="00E75099"/>
    <w:rsid w:val="00E815CF"/>
    <w:rsid w:val="00E83D66"/>
    <w:rsid w:val="00E8471D"/>
    <w:rsid w:val="00E91859"/>
    <w:rsid w:val="00E92A34"/>
    <w:rsid w:val="00E93464"/>
    <w:rsid w:val="00E96EC4"/>
    <w:rsid w:val="00EA072F"/>
    <w:rsid w:val="00EA2033"/>
    <w:rsid w:val="00EA3A3A"/>
    <w:rsid w:val="00EB08F5"/>
    <w:rsid w:val="00ED7A0D"/>
    <w:rsid w:val="00EF18A2"/>
    <w:rsid w:val="00EF656E"/>
    <w:rsid w:val="00EF7321"/>
    <w:rsid w:val="00F012A0"/>
    <w:rsid w:val="00F02986"/>
    <w:rsid w:val="00F10D58"/>
    <w:rsid w:val="00F1319B"/>
    <w:rsid w:val="00F1436A"/>
    <w:rsid w:val="00F17BAD"/>
    <w:rsid w:val="00F17C0A"/>
    <w:rsid w:val="00F203CE"/>
    <w:rsid w:val="00F208AA"/>
    <w:rsid w:val="00F22082"/>
    <w:rsid w:val="00F2226C"/>
    <w:rsid w:val="00F22E44"/>
    <w:rsid w:val="00F34B45"/>
    <w:rsid w:val="00F3645C"/>
    <w:rsid w:val="00F42D18"/>
    <w:rsid w:val="00F47FAF"/>
    <w:rsid w:val="00F50245"/>
    <w:rsid w:val="00F502E3"/>
    <w:rsid w:val="00F50ABD"/>
    <w:rsid w:val="00F52EA9"/>
    <w:rsid w:val="00F559DE"/>
    <w:rsid w:val="00F5737D"/>
    <w:rsid w:val="00F604AE"/>
    <w:rsid w:val="00F66EAB"/>
    <w:rsid w:val="00F66F68"/>
    <w:rsid w:val="00F7323D"/>
    <w:rsid w:val="00F7640D"/>
    <w:rsid w:val="00F80639"/>
    <w:rsid w:val="00F80F40"/>
    <w:rsid w:val="00F82055"/>
    <w:rsid w:val="00F85A42"/>
    <w:rsid w:val="00F860EF"/>
    <w:rsid w:val="00F86F53"/>
    <w:rsid w:val="00F9525D"/>
    <w:rsid w:val="00F97AC1"/>
    <w:rsid w:val="00FA0831"/>
    <w:rsid w:val="00FA1771"/>
    <w:rsid w:val="00FA3434"/>
    <w:rsid w:val="00FA491D"/>
    <w:rsid w:val="00FA5395"/>
    <w:rsid w:val="00FA5C4B"/>
    <w:rsid w:val="00FA7B7E"/>
    <w:rsid w:val="00FB233B"/>
    <w:rsid w:val="00FB303B"/>
    <w:rsid w:val="00FB387A"/>
    <w:rsid w:val="00FB498E"/>
    <w:rsid w:val="00FC0624"/>
    <w:rsid w:val="00FC123D"/>
    <w:rsid w:val="00FC3564"/>
    <w:rsid w:val="00FC4CD7"/>
    <w:rsid w:val="00FC5016"/>
    <w:rsid w:val="00FC738A"/>
    <w:rsid w:val="00FD1043"/>
    <w:rsid w:val="00FD148F"/>
    <w:rsid w:val="00FD497F"/>
    <w:rsid w:val="00FD4A2D"/>
    <w:rsid w:val="00FE021E"/>
    <w:rsid w:val="00FE2B68"/>
    <w:rsid w:val="00FE2FCD"/>
    <w:rsid w:val="00FE559A"/>
    <w:rsid w:val="00FF00AC"/>
    <w:rsid w:val="00FF690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1E065"/>
  <w15:chartTrackingRefBased/>
  <w15:docId w15:val="{8BC3C0E9-40C3-4F1B-9C55-0EE88E3A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3A1"/>
    <w:pPr>
      <w:spacing w:after="0" w:line="240" w:lineRule="auto"/>
    </w:pPr>
    <w:rPr>
      <w:rFonts w:ascii="Times New Roman" w:eastAsia="Times New Roman" w:hAnsi="Times New Roman"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arraTitulo">
    <w:name w:val="Barra Titulo"/>
    <w:basedOn w:val="Normal"/>
    <w:link w:val="BarraTituloCar"/>
    <w:qFormat/>
    <w:rsid w:val="008532C5"/>
    <w:pPr>
      <w:pBdr>
        <w:top w:val="single" w:sz="4" w:space="1" w:color="auto"/>
        <w:left w:val="single" w:sz="4" w:space="4" w:color="auto"/>
        <w:bottom w:val="single" w:sz="4" w:space="1" w:color="auto"/>
        <w:right w:val="single" w:sz="4" w:space="4" w:color="auto"/>
      </w:pBdr>
    </w:pPr>
    <w:rPr>
      <w:b/>
      <w:noProof/>
    </w:rPr>
  </w:style>
  <w:style w:type="character" w:customStyle="1" w:styleId="BarraTituloCar">
    <w:name w:val="Barra Titulo Car"/>
    <w:basedOn w:val="Fuentedeprrafopredeter"/>
    <w:link w:val="BarraTitulo"/>
    <w:rsid w:val="008532C5"/>
    <w:rPr>
      <w:rFonts w:ascii="Times New Roman" w:eastAsia="Times New Roman" w:hAnsi="Times New Roman" w:cs="Times New Roman"/>
      <w:b/>
      <w:noProof/>
      <w:sz w:val="24"/>
      <w:szCs w:val="20"/>
      <w:lang w:val="es-ES" w:eastAsia="es-ES"/>
    </w:rPr>
  </w:style>
  <w:style w:type="paragraph" w:styleId="Textonotapie">
    <w:name w:val="footnote text"/>
    <w:basedOn w:val="Normal"/>
    <w:link w:val="TextonotapieCar"/>
    <w:uiPriority w:val="99"/>
    <w:unhideWhenUsed/>
    <w:rsid w:val="003D1876"/>
    <w:rPr>
      <w:sz w:val="20"/>
    </w:rPr>
  </w:style>
  <w:style w:type="character" w:customStyle="1" w:styleId="TextonotapieCar">
    <w:name w:val="Texto nota pie Car"/>
    <w:basedOn w:val="Fuentedeprrafopredeter"/>
    <w:link w:val="Textonotapie"/>
    <w:uiPriority w:val="99"/>
    <w:rsid w:val="003D1876"/>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3D1876"/>
    <w:rPr>
      <w:vertAlign w:val="superscript"/>
    </w:rPr>
  </w:style>
  <w:style w:type="character" w:styleId="Hipervnculo">
    <w:name w:val="Hyperlink"/>
    <w:basedOn w:val="Fuentedeprrafopredeter"/>
    <w:uiPriority w:val="99"/>
    <w:unhideWhenUsed/>
    <w:rsid w:val="001A5D24"/>
    <w:rPr>
      <w:color w:val="0000FF"/>
      <w:u w:val="single"/>
    </w:rPr>
  </w:style>
  <w:style w:type="paragraph" w:styleId="Prrafodelista">
    <w:name w:val="List Paragraph"/>
    <w:basedOn w:val="Normal"/>
    <w:uiPriority w:val="34"/>
    <w:qFormat/>
    <w:rsid w:val="006F7DCB"/>
    <w:pPr>
      <w:ind w:left="720"/>
      <w:contextualSpacing/>
    </w:pPr>
  </w:style>
  <w:style w:type="table" w:styleId="Tablaconcuadrcula">
    <w:name w:val="Table Grid"/>
    <w:basedOn w:val="Tablanormal"/>
    <w:uiPriority w:val="39"/>
    <w:rsid w:val="00C57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0511"/>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6F473A"/>
    <w:pPr>
      <w:tabs>
        <w:tab w:val="center" w:pos="4252"/>
        <w:tab w:val="right" w:pos="8504"/>
      </w:tabs>
    </w:pPr>
  </w:style>
  <w:style w:type="character" w:customStyle="1" w:styleId="EncabezadoCar">
    <w:name w:val="Encabezado Car"/>
    <w:basedOn w:val="Fuentedeprrafopredeter"/>
    <w:link w:val="Encabezado"/>
    <w:uiPriority w:val="99"/>
    <w:rsid w:val="006F473A"/>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unhideWhenUsed/>
    <w:rsid w:val="006F473A"/>
    <w:pPr>
      <w:tabs>
        <w:tab w:val="center" w:pos="4252"/>
        <w:tab w:val="right" w:pos="8504"/>
      </w:tabs>
    </w:pPr>
  </w:style>
  <w:style w:type="character" w:customStyle="1" w:styleId="PiedepginaCar">
    <w:name w:val="Pie de página Car"/>
    <w:basedOn w:val="Fuentedeprrafopredeter"/>
    <w:link w:val="Piedepgina"/>
    <w:uiPriority w:val="99"/>
    <w:rsid w:val="006F473A"/>
    <w:rPr>
      <w:rFonts w:ascii="Times New Roman" w:eastAsia="Times New Roman" w:hAnsi="Times New Roman" w:cs="Times New Roman"/>
      <w:sz w:val="24"/>
      <w:szCs w:val="20"/>
      <w:lang w:val="es-ES" w:eastAsia="es-ES"/>
    </w:rPr>
  </w:style>
  <w:style w:type="character" w:customStyle="1" w:styleId="Mencinsinresolver1">
    <w:name w:val="Mención sin resolver1"/>
    <w:basedOn w:val="Fuentedeprrafopredeter"/>
    <w:uiPriority w:val="99"/>
    <w:semiHidden/>
    <w:unhideWhenUsed/>
    <w:rsid w:val="006963E4"/>
    <w:rPr>
      <w:color w:val="605E5C"/>
      <w:shd w:val="clear" w:color="auto" w:fill="E1DFDD"/>
    </w:rPr>
  </w:style>
  <w:style w:type="paragraph" w:customStyle="1" w:styleId="Pa18">
    <w:name w:val="Pa18"/>
    <w:basedOn w:val="Default"/>
    <w:next w:val="Default"/>
    <w:uiPriority w:val="99"/>
    <w:rsid w:val="000E2C34"/>
    <w:pPr>
      <w:spacing w:line="241" w:lineRule="atLeast"/>
    </w:pPr>
    <w:rPr>
      <w:rFonts w:ascii="Calibri" w:hAnsi="Calibri" w:cs="Calibri"/>
      <w:color w:val="auto"/>
    </w:rPr>
  </w:style>
  <w:style w:type="character" w:styleId="Textoennegrita">
    <w:name w:val="Strong"/>
    <w:basedOn w:val="Fuentedeprrafopredeter"/>
    <w:uiPriority w:val="22"/>
    <w:qFormat/>
    <w:rsid w:val="00111F83"/>
    <w:rPr>
      <w:b/>
      <w:bCs/>
    </w:rPr>
  </w:style>
  <w:style w:type="paragraph" w:styleId="HTMLconformatoprevio">
    <w:name w:val="HTML Preformatted"/>
    <w:basedOn w:val="Normal"/>
    <w:link w:val="HTMLconformatoprevioCar"/>
    <w:uiPriority w:val="99"/>
    <w:semiHidden/>
    <w:unhideWhenUsed/>
    <w:rsid w:val="00E63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AR" w:eastAsia="es-AR"/>
    </w:rPr>
  </w:style>
  <w:style w:type="character" w:customStyle="1" w:styleId="HTMLconformatoprevioCar">
    <w:name w:val="HTML con formato previo Car"/>
    <w:basedOn w:val="Fuentedeprrafopredeter"/>
    <w:link w:val="HTMLconformatoprevio"/>
    <w:uiPriority w:val="99"/>
    <w:semiHidden/>
    <w:rsid w:val="00E6353B"/>
    <w:rPr>
      <w:rFonts w:ascii="Courier New" w:eastAsia="Times New Roman" w:hAnsi="Courier New" w:cs="Courier New"/>
      <w:sz w:val="20"/>
      <w:szCs w:val="20"/>
      <w:lang w:eastAsia="es-AR"/>
    </w:rPr>
  </w:style>
  <w:style w:type="character" w:customStyle="1" w:styleId="Mencinsinresolver2">
    <w:name w:val="Mención sin resolver2"/>
    <w:basedOn w:val="Fuentedeprrafopredeter"/>
    <w:uiPriority w:val="99"/>
    <w:semiHidden/>
    <w:unhideWhenUsed/>
    <w:rsid w:val="00C4296D"/>
    <w:rPr>
      <w:color w:val="605E5C"/>
      <w:shd w:val="clear" w:color="auto" w:fill="E1DFDD"/>
    </w:rPr>
  </w:style>
  <w:style w:type="character" w:styleId="Refdecomentario">
    <w:name w:val="annotation reference"/>
    <w:basedOn w:val="Fuentedeprrafopredeter"/>
    <w:uiPriority w:val="99"/>
    <w:semiHidden/>
    <w:unhideWhenUsed/>
    <w:rsid w:val="00D82717"/>
    <w:rPr>
      <w:sz w:val="16"/>
      <w:szCs w:val="16"/>
    </w:rPr>
  </w:style>
  <w:style w:type="paragraph" w:styleId="Textocomentario">
    <w:name w:val="annotation text"/>
    <w:basedOn w:val="Normal"/>
    <w:link w:val="TextocomentarioCar"/>
    <w:uiPriority w:val="99"/>
    <w:semiHidden/>
    <w:unhideWhenUsed/>
    <w:rsid w:val="00D82717"/>
    <w:rPr>
      <w:sz w:val="20"/>
    </w:rPr>
  </w:style>
  <w:style w:type="character" w:customStyle="1" w:styleId="TextocomentarioCar">
    <w:name w:val="Texto comentario Car"/>
    <w:basedOn w:val="Fuentedeprrafopredeter"/>
    <w:link w:val="Textocomentario"/>
    <w:uiPriority w:val="99"/>
    <w:semiHidden/>
    <w:rsid w:val="00D8271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82717"/>
    <w:rPr>
      <w:b/>
      <w:bCs/>
    </w:rPr>
  </w:style>
  <w:style w:type="character" w:customStyle="1" w:styleId="AsuntodelcomentarioCar">
    <w:name w:val="Asunto del comentario Car"/>
    <w:basedOn w:val="TextocomentarioCar"/>
    <w:link w:val="Asuntodelcomentario"/>
    <w:uiPriority w:val="99"/>
    <w:semiHidden/>
    <w:rsid w:val="00D82717"/>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827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2717"/>
    <w:rPr>
      <w:rFonts w:ascii="Segoe UI" w:eastAsia="Times New Roman" w:hAnsi="Segoe UI" w:cs="Segoe UI"/>
      <w:sz w:val="18"/>
      <w:szCs w:val="18"/>
      <w:lang w:val="es-ES" w:eastAsia="es-ES"/>
    </w:rPr>
  </w:style>
  <w:style w:type="paragraph" w:styleId="NormalWeb">
    <w:name w:val="Normal (Web)"/>
    <w:basedOn w:val="Normal"/>
    <w:uiPriority w:val="99"/>
    <w:semiHidden/>
    <w:unhideWhenUsed/>
    <w:rsid w:val="0063489B"/>
    <w:pPr>
      <w:spacing w:before="100" w:beforeAutospacing="1" w:after="100" w:afterAutospacing="1"/>
    </w:pPr>
    <w:rPr>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026681">
      <w:bodyDiv w:val="1"/>
      <w:marLeft w:val="0"/>
      <w:marRight w:val="0"/>
      <w:marTop w:val="0"/>
      <w:marBottom w:val="0"/>
      <w:divBdr>
        <w:top w:val="none" w:sz="0" w:space="0" w:color="auto"/>
        <w:left w:val="none" w:sz="0" w:space="0" w:color="auto"/>
        <w:bottom w:val="none" w:sz="0" w:space="0" w:color="auto"/>
        <w:right w:val="none" w:sz="0" w:space="0" w:color="auto"/>
      </w:divBdr>
    </w:div>
    <w:div w:id="930622384">
      <w:bodyDiv w:val="1"/>
      <w:marLeft w:val="0"/>
      <w:marRight w:val="0"/>
      <w:marTop w:val="0"/>
      <w:marBottom w:val="0"/>
      <w:divBdr>
        <w:top w:val="none" w:sz="0" w:space="0" w:color="auto"/>
        <w:left w:val="none" w:sz="0" w:space="0" w:color="auto"/>
        <w:bottom w:val="none" w:sz="0" w:space="0" w:color="auto"/>
        <w:right w:val="none" w:sz="0" w:space="0" w:color="auto"/>
      </w:divBdr>
    </w:div>
    <w:div w:id="1153988119">
      <w:bodyDiv w:val="1"/>
      <w:marLeft w:val="0"/>
      <w:marRight w:val="0"/>
      <w:marTop w:val="0"/>
      <w:marBottom w:val="0"/>
      <w:divBdr>
        <w:top w:val="none" w:sz="0" w:space="0" w:color="auto"/>
        <w:left w:val="none" w:sz="0" w:space="0" w:color="auto"/>
        <w:bottom w:val="none" w:sz="0" w:space="0" w:color="auto"/>
        <w:right w:val="none" w:sz="0" w:space="0" w:color="auto"/>
      </w:divBdr>
    </w:div>
    <w:div w:id="137176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A2B0E-6BB6-4F1A-AAB9-FD320BC17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4316</Words>
  <Characters>23738</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Ficco</dc:creator>
  <cp:keywords/>
  <dc:description/>
  <cp:lastModifiedBy>Rafa Ballatore</cp:lastModifiedBy>
  <cp:revision>11</cp:revision>
  <cp:lastPrinted>2020-09-28T14:43:00Z</cp:lastPrinted>
  <dcterms:created xsi:type="dcterms:W3CDTF">2021-09-13T14:03:00Z</dcterms:created>
  <dcterms:modified xsi:type="dcterms:W3CDTF">2021-09-13T14:38:00Z</dcterms:modified>
</cp:coreProperties>
</file>