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07675" w14:textId="1CCA7934" w:rsidR="00785798" w:rsidRPr="00CA0DE8" w:rsidRDefault="00F15488" w:rsidP="009032C7">
      <w:pPr>
        <w:spacing w:line="360" w:lineRule="auto"/>
        <w:jc w:val="center"/>
        <w:rPr>
          <w:b/>
          <w:szCs w:val="24"/>
          <w:shd w:val="clear" w:color="auto" w:fill="FFFFFF"/>
        </w:rPr>
      </w:pPr>
      <w:r w:rsidRPr="00CA0DE8">
        <w:rPr>
          <w:b/>
          <w:szCs w:val="24"/>
          <w:shd w:val="clear" w:color="auto" w:fill="FFFFFF"/>
        </w:rPr>
        <w:t>E</w:t>
      </w:r>
      <w:r w:rsidR="00C90DDA" w:rsidRPr="00CA0DE8">
        <w:rPr>
          <w:b/>
          <w:szCs w:val="24"/>
          <w:shd w:val="clear" w:color="auto" w:fill="FFFFFF"/>
        </w:rPr>
        <w:t>L NAVEGADOR SKANDIA, EL VAIC Y EL EVA</w:t>
      </w:r>
      <w:r w:rsidRPr="00CA0DE8">
        <w:rPr>
          <w:b/>
          <w:szCs w:val="24"/>
          <w:shd w:val="clear" w:color="auto" w:fill="FFFFFF"/>
        </w:rPr>
        <w:t xml:space="preserve"> EN LA MEDICIÓN DEL CAPITAL INTELECTUAL</w:t>
      </w:r>
      <w:r w:rsidR="00C90DDA" w:rsidRPr="00CA0DE8">
        <w:rPr>
          <w:b/>
          <w:szCs w:val="24"/>
          <w:shd w:val="clear" w:color="auto" w:fill="FFFFFF"/>
        </w:rPr>
        <w:t xml:space="preserve"> </w:t>
      </w:r>
      <w:r w:rsidRPr="00CA0DE8">
        <w:rPr>
          <w:b/>
          <w:szCs w:val="24"/>
          <w:shd w:val="clear" w:color="auto" w:fill="FFFFFF"/>
        </w:rPr>
        <w:t>DE LAS EMPRESAS: RELACIONES Y APORTES PARA LA TOMA DE DECISIONES</w:t>
      </w:r>
    </w:p>
    <w:p w14:paraId="34F7EAD2" w14:textId="77777777" w:rsidR="007A3FBF" w:rsidRPr="00CA0DE8" w:rsidRDefault="007A3FBF" w:rsidP="009032C7">
      <w:pPr>
        <w:spacing w:line="360" w:lineRule="auto"/>
        <w:jc w:val="center"/>
        <w:rPr>
          <w:szCs w:val="24"/>
        </w:rPr>
      </w:pPr>
      <w:r w:rsidRPr="00CA0DE8">
        <w:rPr>
          <w:szCs w:val="24"/>
        </w:rPr>
        <w:t>Eje temático:</w:t>
      </w:r>
    </w:p>
    <w:p w14:paraId="25F83975" w14:textId="40AC94A6" w:rsidR="007A3FBF" w:rsidRPr="00CA0DE8" w:rsidRDefault="007A3FBF" w:rsidP="009032C7">
      <w:pPr>
        <w:spacing w:line="360" w:lineRule="auto"/>
        <w:jc w:val="center"/>
        <w:rPr>
          <w:szCs w:val="24"/>
        </w:rPr>
      </w:pPr>
      <w:r w:rsidRPr="00CA0DE8">
        <w:rPr>
          <w:szCs w:val="24"/>
        </w:rPr>
        <w:t>Eje 1</w:t>
      </w:r>
      <w:r w:rsidR="0057541F" w:rsidRPr="00CA0DE8">
        <w:rPr>
          <w:szCs w:val="24"/>
        </w:rPr>
        <w:t>0</w:t>
      </w:r>
      <w:r w:rsidRPr="00CA0DE8">
        <w:rPr>
          <w:szCs w:val="24"/>
        </w:rPr>
        <w:t xml:space="preserve">: </w:t>
      </w:r>
      <w:r w:rsidR="00F15488" w:rsidRPr="00CA0DE8">
        <w:rPr>
          <w:szCs w:val="24"/>
        </w:rPr>
        <w:t>Aportes desde la perspectiva de los costos, del capital intelectual y de la Responsabilidad Social.</w:t>
      </w:r>
    </w:p>
    <w:p w14:paraId="3EC0F5B3" w14:textId="00181A97" w:rsidR="007A3FBF" w:rsidRPr="00CA0DE8" w:rsidRDefault="007A3FBF" w:rsidP="009032C7">
      <w:pPr>
        <w:spacing w:line="360" w:lineRule="auto"/>
        <w:jc w:val="center"/>
        <w:rPr>
          <w:szCs w:val="24"/>
        </w:rPr>
      </w:pPr>
      <w:r w:rsidRPr="00CA0DE8">
        <w:rPr>
          <w:szCs w:val="24"/>
        </w:rPr>
        <w:t>Autoras:</w:t>
      </w:r>
    </w:p>
    <w:p w14:paraId="0B9EB6B6" w14:textId="77777777" w:rsidR="007A3FBF" w:rsidRPr="00CA0DE8" w:rsidRDefault="007A3FBF" w:rsidP="009032C7">
      <w:pPr>
        <w:spacing w:line="360" w:lineRule="auto"/>
        <w:jc w:val="center"/>
        <w:rPr>
          <w:b/>
          <w:szCs w:val="24"/>
        </w:rPr>
      </w:pPr>
      <w:r w:rsidRPr="00CA0DE8">
        <w:rPr>
          <w:b/>
          <w:szCs w:val="24"/>
        </w:rPr>
        <w:t>Ficco, Cecilia</w:t>
      </w:r>
    </w:p>
    <w:p w14:paraId="62D4200F" w14:textId="77777777" w:rsidR="007A3FBF" w:rsidRPr="00CA0DE8" w:rsidRDefault="007A3FBF" w:rsidP="009032C7">
      <w:pPr>
        <w:spacing w:line="360" w:lineRule="auto"/>
        <w:jc w:val="center"/>
        <w:rPr>
          <w:szCs w:val="24"/>
        </w:rPr>
      </w:pPr>
      <w:r w:rsidRPr="00CA0DE8">
        <w:rPr>
          <w:szCs w:val="24"/>
        </w:rPr>
        <w:t>Instituto Académico Pedagógico de Ciencias Sociales - Universidad Nacional de Villa María</w:t>
      </w:r>
    </w:p>
    <w:p w14:paraId="7EDEC546" w14:textId="77777777" w:rsidR="007A3FBF" w:rsidRPr="00CA0DE8" w:rsidRDefault="007A3FBF" w:rsidP="009032C7">
      <w:pPr>
        <w:spacing w:line="360" w:lineRule="auto"/>
        <w:jc w:val="center"/>
        <w:rPr>
          <w:szCs w:val="24"/>
        </w:rPr>
      </w:pPr>
      <w:r w:rsidRPr="00CA0DE8">
        <w:rPr>
          <w:szCs w:val="24"/>
        </w:rPr>
        <w:t>Av. Arturo Jauretche 1555 - Villa María, Córdoba</w:t>
      </w:r>
    </w:p>
    <w:p w14:paraId="434308DD" w14:textId="77777777" w:rsidR="007A3FBF" w:rsidRPr="00CA0DE8" w:rsidRDefault="007A3FBF" w:rsidP="009032C7">
      <w:pPr>
        <w:spacing w:line="360" w:lineRule="auto"/>
        <w:jc w:val="center"/>
        <w:rPr>
          <w:szCs w:val="24"/>
        </w:rPr>
      </w:pPr>
      <w:r w:rsidRPr="00CA0DE8">
        <w:rPr>
          <w:szCs w:val="24"/>
        </w:rPr>
        <w:t>e-mail: ceciliaficco@yahoo.com.ar</w:t>
      </w:r>
    </w:p>
    <w:p w14:paraId="7DB7D8A1" w14:textId="77777777" w:rsidR="007A3FBF" w:rsidRPr="00CA0DE8" w:rsidRDefault="007A3FBF" w:rsidP="009032C7">
      <w:pPr>
        <w:spacing w:line="360" w:lineRule="auto"/>
        <w:jc w:val="center"/>
        <w:rPr>
          <w:b/>
          <w:szCs w:val="24"/>
        </w:rPr>
      </w:pPr>
      <w:r w:rsidRPr="00CA0DE8">
        <w:rPr>
          <w:b/>
          <w:szCs w:val="24"/>
        </w:rPr>
        <w:t>Musa, Patricia</w:t>
      </w:r>
    </w:p>
    <w:p w14:paraId="10FE8A3C" w14:textId="77777777" w:rsidR="007A3FBF" w:rsidRPr="00CA0DE8" w:rsidRDefault="007A3FBF" w:rsidP="009032C7">
      <w:pPr>
        <w:spacing w:line="360" w:lineRule="auto"/>
        <w:jc w:val="center"/>
        <w:rPr>
          <w:szCs w:val="24"/>
        </w:rPr>
      </w:pPr>
      <w:r w:rsidRPr="00CA0DE8">
        <w:rPr>
          <w:szCs w:val="24"/>
        </w:rPr>
        <w:t>Instituto Académico Pedagógico de Ciencias Sociales - Universidad Nacional de Villa María</w:t>
      </w:r>
    </w:p>
    <w:p w14:paraId="1009C916" w14:textId="77777777" w:rsidR="007A3FBF" w:rsidRPr="00CA0DE8" w:rsidRDefault="007A3FBF" w:rsidP="009032C7">
      <w:pPr>
        <w:spacing w:line="360" w:lineRule="auto"/>
        <w:jc w:val="center"/>
        <w:rPr>
          <w:szCs w:val="24"/>
        </w:rPr>
      </w:pPr>
      <w:r w:rsidRPr="00CA0DE8">
        <w:rPr>
          <w:szCs w:val="24"/>
        </w:rPr>
        <w:t>Av. Arturo Jauretche 1555 - Villa María, Córdoba</w:t>
      </w:r>
    </w:p>
    <w:p w14:paraId="627407B0" w14:textId="77777777" w:rsidR="007A3FBF" w:rsidRPr="00CA0DE8" w:rsidRDefault="007A3FBF" w:rsidP="009032C7">
      <w:pPr>
        <w:spacing w:line="360" w:lineRule="auto"/>
        <w:jc w:val="center"/>
        <w:rPr>
          <w:szCs w:val="24"/>
        </w:rPr>
      </w:pPr>
      <w:r w:rsidRPr="00CA0DE8">
        <w:rPr>
          <w:szCs w:val="24"/>
        </w:rPr>
        <w:t xml:space="preserve">e-mail: </w:t>
      </w:r>
      <w:r w:rsidRPr="00CA0DE8">
        <w:rPr>
          <w:color w:val="000000"/>
          <w:szCs w:val="24"/>
          <w:shd w:val="clear" w:color="auto" w:fill="FFFFFF"/>
        </w:rPr>
        <w:t>patricia_musa@hotmail.com</w:t>
      </w:r>
    </w:p>
    <w:p w14:paraId="1857DBB5" w14:textId="39794BF3" w:rsidR="007A3FBF" w:rsidRPr="00CA0DE8" w:rsidRDefault="007A3FBF" w:rsidP="009032C7">
      <w:pPr>
        <w:spacing w:line="360" w:lineRule="auto"/>
        <w:rPr>
          <w:rFonts w:eastAsiaTheme="minorEastAsia"/>
          <w:b/>
          <w:szCs w:val="24"/>
          <w:lang w:eastAsia="ja-JP"/>
        </w:rPr>
      </w:pPr>
    </w:p>
    <w:p w14:paraId="4FDB7BFC" w14:textId="77777777" w:rsidR="001320EE" w:rsidRPr="00CA0DE8" w:rsidRDefault="001320EE" w:rsidP="001320EE">
      <w:pPr>
        <w:spacing w:line="360" w:lineRule="auto"/>
        <w:jc w:val="both"/>
        <w:rPr>
          <w:b/>
          <w:szCs w:val="24"/>
        </w:rPr>
      </w:pPr>
      <w:r w:rsidRPr="00CA0DE8">
        <w:rPr>
          <w:b/>
          <w:szCs w:val="24"/>
        </w:rPr>
        <w:t>RESUMEN</w:t>
      </w:r>
    </w:p>
    <w:p w14:paraId="3230493D" w14:textId="77777777" w:rsidR="001320EE" w:rsidRPr="00CA0DE8" w:rsidRDefault="001320EE" w:rsidP="001320EE">
      <w:pPr>
        <w:spacing w:line="360" w:lineRule="auto"/>
        <w:jc w:val="both"/>
        <w:rPr>
          <w:szCs w:val="24"/>
        </w:rPr>
      </w:pPr>
      <w:r w:rsidRPr="00CA0DE8">
        <w:rPr>
          <w:szCs w:val="24"/>
        </w:rPr>
        <w:t xml:space="preserve">En el actual contexto que configura la economía del conocimiento, el capital intelectual (CI) es el factor clave para la creación de valor y la generación y sostenimiento de la ventaja competitiva de la empresa. Sin embargo, el alto grado de incertidumbre asociado a los beneficios futuros esperados de muchos de los elementos intangibles que lo integran, sumado a las dificultades que entraña su medición fiable y la delimitación clara de su control o propiedad por parte del ente, genera importantes problemas para su reconocimiento contable. Por ello, y como una forma de paliar esta carencia de la contabilidad financiera, se han diseñado distintos métodos y modelos que brindan información sobre el CI, permitiendo su identificación y medición. Entre ellos se incluyen el Navegador </w:t>
      </w:r>
      <w:proofErr w:type="spellStart"/>
      <w:r w:rsidRPr="00CA0DE8">
        <w:rPr>
          <w:szCs w:val="24"/>
        </w:rPr>
        <w:t>Skandia</w:t>
      </w:r>
      <w:proofErr w:type="spellEnd"/>
      <w:r w:rsidRPr="00CA0DE8">
        <w:rPr>
          <w:szCs w:val="24"/>
        </w:rPr>
        <w:t>, el VAIC (</w:t>
      </w:r>
      <w:proofErr w:type="spellStart"/>
      <w:r w:rsidRPr="00CA0DE8">
        <w:rPr>
          <w:i/>
          <w:szCs w:val="24"/>
        </w:rPr>
        <w:t>Value</w:t>
      </w:r>
      <w:proofErr w:type="spellEnd"/>
      <w:r w:rsidRPr="00CA0DE8">
        <w:rPr>
          <w:i/>
          <w:szCs w:val="24"/>
        </w:rPr>
        <w:t xml:space="preserve"> </w:t>
      </w:r>
      <w:proofErr w:type="spellStart"/>
      <w:r w:rsidRPr="00CA0DE8">
        <w:rPr>
          <w:i/>
          <w:szCs w:val="24"/>
        </w:rPr>
        <w:t>Added</w:t>
      </w:r>
      <w:proofErr w:type="spellEnd"/>
      <w:r w:rsidRPr="00CA0DE8">
        <w:rPr>
          <w:i/>
          <w:szCs w:val="24"/>
        </w:rPr>
        <w:t xml:space="preserve"> Intelectual </w:t>
      </w:r>
      <w:proofErr w:type="spellStart"/>
      <w:r w:rsidRPr="00CA0DE8">
        <w:rPr>
          <w:i/>
          <w:szCs w:val="24"/>
        </w:rPr>
        <w:t>Coefficient</w:t>
      </w:r>
      <w:proofErr w:type="spellEnd"/>
      <w:r w:rsidRPr="00CA0DE8">
        <w:rPr>
          <w:szCs w:val="24"/>
        </w:rPr>
        <w:t>) y el EVA (</w:t>
      </w:r>
      <w:proofErr w:type="spellStart"/>
      <w:r w:rsidRPr="00CA0DE8">
        <w:rPr>
          <w:i/>
          <w:szCs w:val="24"/>
        </w:rPr>
        <w:t>EconomicValue</w:t>
      </w:r>
      <w:proofErr w:type="spellEnd"/>
      <w:r w:rsidRPr="00CA0DE8">
        <w:rPr>
          <w:i/>
          <w:szCs w:val="24"/>
        </w:rPr>
        <w:t xml:space="preserve"> </w:t>
      </w:r>
      <w:proofErr w:type="spellStart"/>
      <w:r w:rsidRPr="00CA0DE8">
        <w:rPr>
          <w:i/>
          <w:szCs w:val="24"/>
        </w:rPr>
        <w:t>Added</w:t>
      </w:r>
      <w:proofErr w:type="spellEnd"/>
      <w:r w:rsidRPr="00CA0DE8">
        <w:rPr>
          <w:szCs w:val="24"/>
        </w:rPr>
        <w:t>), los que brindan mediciones sobre el CI desde distintas perspectivas. En este marco, el presente trabajo tiene como objetivo fundamental describir la forma en que se operativizan cada uno de estos métodos, destacando la información que cada uno de ellos aporta respecto del CI organizacional. En este sentido, la investigación tiene carácter descriptivo. Se concluye sobre la importancia de la aplicación combinada de estos métodos, ya que existen importantes relaciones entre los mismos que permiten producir información más completa sobre el CI y la generación de valor por parte de las empresas.</w:t>
      </w:r>
    </w:p>
    <w:p w14:paraId="01768913" w14:textId="77777777" w:rsidR="001320EE" w:rsidRPr="00CA0DE8" w:rsidRDefault="001320EE" w:rsidP="001320EE">
      <w:pPr>
        <w:spacing w:line="360" w:lineRule="auto"/>
        <w:jc w:val="both"/>
        <w:rPr>
          <w:b/>
          <w:szCs w:val="24"/>
        </w:rPr>
      </w:pPr>
    </w:p>
    <w:p w14:paraId="3B753E32" w14:textId="77777777" w:rsidR="001320EE" w:rsidRPr="00CA0DE8" w:rsidRDefault="001320EE" w:rsidP="001320EE">
      <w:pPr>
        <w:spacing w:line="360" w:lineRule="auto"/>
        <w:jc w:val="both"/>
        <w:rPr>
          <w:szCs w:val="24"/>
        </w:rPr>
      </w:pPr>
      <w:r w:rsidRPr="00CA0DE8">
        <w:rPr>
          <w:b/>
          <w:szCs w:val="24"/>
        </w:rPr>
        <w:t xml:space="preserve">Palabras clave: </w:t>
      </w:r>
      <w:r w:rsidRPr="00CA0DE8">
        <w:rPr>
          <w:szCs w:val="24"/>
        </w:rPr>
        <w:t xml:space="preserve">Capital Intelectual - Medición - Navegador </w:t>
      </w:r>
      <w:proofErr w:type="spellStart"/>
      <w:r w:rsidRPr="00CA0DE8">
        <w:rPr>
          <w:szCs w:val="24"/>
        </w:rPr>
        <w:t>Skandia</w:t>
      </w:r>
      <w:proofErr w:type="spellEnd"/>
      <w:r w:rsidRPr="00CA0DE8">
        <w:rPr>
          <w:szCs w:val="24"/>
        </w:rPr>
        <w:t xml:space="preserve"> - VAIC - EVA</w:t>
      </w:r>
    </w:p>
    <w:p w14:paraId="7D947063" w14:textId="49E9FD1D" w:rsidR="007A3FBF" w:rsidRPr="00CA0DE8" w:rsidRDefault="00E40C86" w:rsidP="009032C7">
      <w:pPr>
        <w:spacing w:line="360" w:lineRule="auto"/>
        <w:jc w:val="both"/>
        <w:rPr>
          <w:b/>
          <w:szCs w:val="24"/>
        </w:rPr>
      </w:pPr>
      <w:r w:rsidRPr="00CA0DE8">
        <w:rPr>
          <w:b/>
          <w:szCs w:val="24"/>
        </w:rPr>
        <w:lastRenderedPageBreak/>
        <w:t>Introducción</w:t>
      </w:r>
    </w:p>
    <w:p w14:paraId="5C7A1593" w14:textId="3C0F2D90" w:rsidR="001826AA" w:rsidRPr="00CA0DE8" w:rsidRDefault="008D6E30" w:rsidP="004A3DF5">
      <w:pPr>
        <w:spacing w:line="360" w:lineRule="auto"/>
        <w:jc w:val="both"/>
        <w:rPr>
          <w:szCs w:val="24"/>
        </w:rPr>
      </w:pPr>
      <w:r w:rsidRPr="00CA0DE8">
        <w:rPr>
          <w:szCs w:val="24"/>
        </w:rPr>
        <w:t>E</w:t>
      </w:r>
      <w:r w:rsidR="00F15488" w:rsidRPr="00CA0DE8">
        <w:rPr>
          <w:szCs w:val="24"/>
        </w:rPr>
        <w:t>n el actual contexto que configura la economía del conocimiento, e</w:t>
      </w:r>
      <w:r w:rsidRPr="00CA0DE8">
        <w:rPr>
          <w:szCs w:val="24"/>
        </w:rPr>
        <w:t xml:space="preserve">l capital intelectual </w:t>
      </w:r>
      <w:r w:rsidR="00BD5560" w:rsidRPr="00CA0DE8">
        <w:rPr>
          <w:szCs w:val="24"/>
        </w:rPr>
        <w:t xml:space="preserve">(CI) </w:t>
      </w:r>
      <w:r w:rsidRPr="00CA0DE8">
        <w:rPr>
          <w:szCs w:val="24"/>
        </w:rPr>
        <w:t>es</w:t>
      </w:r>
      <w:r w:rsidR="00F15488" w:rsidRPr="00CA0DE8">
        <w:rPr>
          <w:szCs w:val="24"/>
        </w:rPr>
        <w:t xml:space="preserve"> el </w:t>
      </w:r>
      <w:r w:rsidRPr="00CA0DE8">
        <w:rPr>
          <w:szCs w:val="24"/>
        </w:rPr>
        <w:t xml:space="preserve">factor clave </w:t>
      </w:r>
      <w:r w:rsidR="00F15488" w:rsidRPr="00CA0DE8">
        <w:rPr>
          <w:szCs w:val="24"/>
        </w:rPr>
        <w:t xml:space="preserve">para la </w:t>
      </w:r>
      <w:r w:rsidR="000576F0" w:rsidRPr="00CA0DE8">
        <w:rPr>
          <w:szCs w:val="24"/>
        </w:rPr>
        <w:t>cre</w:t>
      </w:r>
      <w:r w:rsidRPr="00CA0DE8">
        <w:rPr>
          <w:szCs w:val="24"/>
        </w:rPr>
        <w:t xml:space="preserve">ación de valor y la </w:t>
      </w:r>
      <w:r w:rsidR="00F15488" w:rsidRPr="00CA0DE8">
        <w:rPr>
          <w:szCs w:val="24"/>
        </w:rPr>
        <w:t xml:space="preserve">generación y sostenimiento de la </w:t>
      </w:r>
      <w:r w:rsidRPr="00CA0DE8">
        <w:rPr>
          <w:szCs w:val="24"/>
        </w:rPr>
        <w:t>ventaja</w:t>
      </w:r>
      <w:r w:rsidR="00F15488" w:rsidRPr="00CA0DE8">
        <w:rPr>
          <w:szCs w:val="24"/>
        </w:rPr>
        <w:t xml:space="preserve"> competitiva de la empresa. </w:t>
      </w:r>
      <w:r w:rsidR="00E40C86" w:rsidRPr="00CA0DE8">
        <w:rPr>
          <w:szCs w:val="24"/>
        </w:rPr>
        <w:t xml:space="preserve">El CI </w:t>
      </w:r>
      <w:r w:rsidR="000A66E9" w:rsidRPr="00CA0DE8">
        <w:rPr>
          <w:szCs w:val="24"/>
        </w:rPr>
        <w:t>representa un concepto amplio sobre el cual aún no se ha arribado a una definición de aceptación generalizada</w:t>
      </w:r>
      <w:r w:rsidR="004A3DF5" w:rsidRPr="00CA0DE8">
        <w:rPr>
          <w:szCs w:val="24"/>
        </w:rPr>
        <w:t xml:space="preserve">, aunque </w:t>
      </w:r>
      <w:r w:rsidR="00355DD9" w:rsidRPr="00CA0DE8">
        <w:rPr>
          <w:szCs w:val="24"/>
        </w:rPr>
        <w:t xml:space="preserve">hay un </w:t>
      </w:r>
      <w:r w:rsidR="002B0A3E" w:rsidRPr="00CA0DE8">
        <w:rPr>
          <w:szCs w:val="24"/>
        </w:rPr>
        <w:t>importante</w:t>
      </w:r>
      <w:r w:rsidR="00355DD9" w:rsidRPr="00CA0DE8">
        <w:rPr>
          <w:szCs w:val="24"/>
        </w:rPr>
        <w:t xml:space="preserve"> consenso en considerarlo como un conjunto de </w:t>
      </w:r>
      <w:r w:rsidR="000A66E9" w:rsidRPr="00CA0DE8">
        <w:rPr>
          <w:szCs w:val="24"/>
        </w:rPr>
        <w:t xml:space="preserve">recursos y actividades intangibles que tienen, esencialmente, una naturaleza cognitiva </w:t>
      </w:r>
      <w:r w:rsidR="004A3DF5" w:rsidRPr="00CA0DE8">
        <w:rPr>
          <w:szCs w:val="24"/>
        </w:rPr>
        <w:t xml:space="preserve">(Carlucci y </w:t>
      </w:r>
      <w:proofErr w:type="spellStart"/>
      <w:r w:rsidR="004A3DF5" w:rsidRPr="00CA0DE8">
        <w:rPr>
          <w:szCs w:val="24"/>
        </w:rPr>
        <w:t>Schiuma</w:t>
      </w:r>
      <w:proofErr w:type="spellEnd"/>
      <w:r w:rsidR="004A3DF5" w:rsidRPr="00CA0DE8">
        <w:rPr>
          <w:szCs w:val="24"/>
        </w:rPr>
        <w:t xml:space="preserve">, 2007) </w:t>
      </w:r>
      <w:r w:rsidR="000A66E9" w:rsidRPr="00CA0DE8">
        <w:rPr>
          <w:szCs w:val="24"/>
        </w:rPr>
        <w:t>y que le otorgan a la empresa capacidad para crear valor.</w:t>
      </w:r>
      <w:r w:rsidR="001826AA" w:rsidRPr="00CA0DE8">
        <w:rPr>
          <w:szCs w:val="24"/>
        </w:rPr>
        <w:t xml:space="preserve"> Así, el CI está integrado por elementos tales como los conocimientos, habilidades y experiencia de los empleados, las rutinas y los procedimientos organizativos, los recursos tecnológicos, la capacidad de innovación, las relaciones de la empresa con los clientes y otras partes interesadas en su actividad, su reputación en el mercado, entre otros.</w:t>
      </w:r>
    </w:p>
    <w:p w14:paraId="5E1AAF3D" w14:textId="061EF5DB" w:rsidR="00157E8C" w:rsidRPr="00CA0DE8" w:rsidRDefault="004A3DF5" w:rsidP="00AC2E9B">
      <w:pPr>
        <w:spacing w:line="360" w:lineRule="auto"/>
        <w:jc w:val="both"/>
        <w:rPr>
          <w:szCs w:val="24"/>
        </w:rPr>
      </w:pPr>
      <w:r w:rsidRPr="00CA0DE8">
        <w:rPr>
          <w:szCs w:val="24"/>
        </w:rPr>
        <w:t xml:space="preserve">Sin embargo, y </w:t>
      </w:r>
      <w:proofErr w:type="spellStart"/>
      <w:r w:rsidRPr="00CA0DE8">
        <w:rPr>
          <w:szCs w:val="24"/>
        </w:rPr>
        <w:t>a</w:t>
      </w:r>
      <w:r w:rsidR="00B8799C">
        <w:rPr>
          <w:szCs w:val="24"/>
        </w:rPr>
        <w:t>ú</w:t>
      </w:r>
      <w:r w:rsidRPr="00CA0DE8">
        <w:rPr>
          <w:szCs w:val="24"/>
        </w:rPr>
        <w:t>n</w:t>
      </w:r>
      <w:proofErr w:type="spellEnd"/>
      <w:r w:rsidRPr="00CA0DE8">
        <w:rPr>
          <w:szCs w:val="24"/>
        </w:rPr>
        <w:t xml:space="preserve"> cuando el CI se ha convertido en el recurso estratégico más importante para las empresas y otro tipo de organizaciones, </w:t>
      </w:r>
      <w:r w:rsidR="00AC2E9B" w:rsidRPr="00CA0DE8">
        <w:rPr>
          <w:szCs w:val="24"/>
        </w:rPr>
        <w:t>la contabilidad</w:t>
      </w:r>
      <w:r w:rsidR="007344D7" w:rsidRPr="00CA0DE8">
        <w:rPr>
          <w:szCs w:val="24"/>
        </w:rPr>
        <w:t xml:space="preserve">, </w:t>
      </w:r>
      <w:r w:rsidR="00AC2E9B" w:rsidRPr="00CA0DE8">
        <w:rPr>
          <w:szCs w:val="24"/>
        </w:rPr>
        <w:t xml:space="preserve">que todavía </w:t>
      </w:r>
      <w:r w:rsidR="007344D7" w:rsidRPr="00CA0DE8">
        <w:rPr>
          <w:szCs w:val="24"/>
        </w:rPr>
        <w:t>utiliza como medio de difusión de la información contable a los estados financieros tradicionales</w:t>
      </w:r>
      <w:r w:rsidR="00AC2E9B" w:rsidRPr="00CA0DE8">
        <w:rPr>
          <w:szCs w:val="24"/>
        </w:rPr>
        <w:t xml:space="preserve"> (</w:t>
      </w:r>
      <w:proofErr w:type="spellStart"/>
      <w:r w:rsidR="00AC2E9B" w:rsidRPr="00CA0DE8">
        <w:rPr>
          <w:szCs w:val="24"/>
        </w:rPr>
        <w:t>Cañibano</w:t>
      </w:r>
      <w:proofErr w:type="spellEnd"/>
      <w:r w:rsidR="00AC2E9B" w:rsidRPr="00CA0DE8">
        <w:rPr>
          <w:szCs w:val="24"/>
        </w:rPr>
        <w:t xml:space="preserve">, 2007), no brinda información adecuada </w:t>
      </w:r>
      <w:r w:rsidR="002B0A3E" w:rsidRPr="00CA0DE8">
        <w:rPr>
          <w:szCs w:val="24"/>
        </w:rPr>
        <w:t>acerca del mismo</w:t>
      </w:r>
      <w:r w:rsidR="00AC2E9B" w:rsidRPr="00CA0DE8">
        <w:rPr>
          <w:szCs w:val="24"/>
        </w:rPr>
        <w:t>.</w:t>
      </w:r>
      <w:r w:rsidR="007344D7" w:rsidRPr="00CA0DE8">
        <w:rPr>
          <w:szCs w:val="24"/>
        </w:rPr>
        <w:t xml:space="preserve"> E</w:t>
      </w:r>
      <w:r w:rsidR="00AC2E9B" w:rsidRPr="00CA0DE8">
        <w:rPr>
          <w:szCs w:val="24"/>
        </w:rPr>
        <w:t xml:space="preserve">sto se debe a que las </w:t>
      </w:r>
      <w:r w:rsidR="007344D7" w:rsidRPr="00CA0DE8">
        <w:rPr>
          <w:szCs w:val="24"/>
        </w:rPr>
        <w:t xml:space="preserve">normas contables </w:t>
      </w:r>
      <w:r w:rsidR="00AC2E9B" w:rsidRPr="00CA0DE8">
        <w:rPr>
          <w:szCs w:val="24"/>
        </w:rPr>
        <w:t xml:space="preserve">vigentes, tanto a nivel nacional como internacional, han adoptado una postura </w:t>
      </w:r>
      <w:r w:rsidR="007344D7" w:rsidRPr="00CA0DE8">
        <w:rPr>
          <w:szCs w:val="24"/>
        </w:rPr>
        <w:t>conservadora con relación a los intangibles, siendo, en general, restrictiva</w:t>
      </w:r>
      <w:r w:rsidR="00E01FEC" w:rsidRPr="00CA0DE8">
        <w:rPr>
          <w:szCs w:val="24"/>
        </w:rPr>
        <w:t>s</w:t>
      </w:r>
      <w:r w:rsidR="007344D7" w:rsidRPr="00CA0DE8">
        <w:rPr>
          <w:szCs w:val="24"/>
        </w:rPr>
        <w:t xml:space="preserve"> en lo que respecta a su inclusión en los estados financieros (</w:t>
      </w:r>
      <w:proofErr w:type="spellStart"/>
      <w:r w:rsidR="007344D7" w:rsidRPr="00CA0DE8">
        <w:rPr>
          <w:szCs w:val="24"/>
        </w:rPr>
        <w:t>Cañibano</w:t>
      </w:r>
      <w:proofErr w:type="spellEnd"/>
      <w:r w:rsidR="007344D7" w:rsidRPr="00CA0DE8">
        <w:rPr>
          <w:szCs w:val="24"/>
        </w:rPr>
        <w:t xml:space="preserve"> y Gisbert, 2006; López, </w:t>
      </w:r>
      <w:proofErr w:type="spellStart"/>
      <w:r w:rsidR="007344D7" w:rsidRPr="00CA0DE8">
        <w:rPr>
          <w:szCs w:val="24"/>
        </w:rPr>
        <w:t>Santanatoglia</w:t>
      </w:r>
      <w:proofErr w:type="spellEnd"/>
      <w:r w:rsidR="007344D7" w:rsidRPr="00CA0DE8">
        <w:rPr>
          <w:szCs w:val="24"/>
        </w:rPr>
        <w:t xml:space="preserve">, </w:t>
      </w:r>
      <w:proofErr w:type="spellStart"/>
      <w:r w:rsidR="007344D7" w:rsidRPr="00CA0DE8">
        <w:rPr>
          <w:szCs w:val="24"/>
        </w:rPr>
        <w:t>Pedroni</w:t>
      </w:r>
      <w:proofErr w:type="spellEnd"/>
      <w:r w:rsidR="007344D7" w:rsidRPr="00CA0DE8">
        <w:rPr>
          <w:szCs w:val="24"/>
        </w:rPr>
        <w:t xml:space="preserve">, </w:t>
      </w:r>
      <w:proofErr w:type="spellStart"/>
      <w:r w:rsidR="007344D7" w:rsidRPr="00CA0DE8">
        <w:rPr>
          <w:szCs w:val="24"/>
        </w:rPr>
        <w:t>Albanese</w:t>
      </w:r>
      <w:proofErr w:type="spellEnd"/>
      <w:r w:rsidR="007344D7" w:rsidRPr="00CA0DE8">
        <w:rPr>
          <w:szCs w:val="24"/>
        </w:rPr>
        <w:t xml:space="preserve"> y </w:t>
      </w:r>
      <w:proofErr w:type="spellStart"/>
      <w:r w:rsidR="007344D7" w:rsidRPr="00CA0DE8">
        <w:rPr>
          <w:szCs w:val="24"/>
        </w:rPr>
        <w:t>Milanesi</w:t>
      </w:r>
      <w:proofErr w:type="spellEnd"/>
      <w:r w:rsidR="007344D7" w:rsidRPr="00CA0DE8">
        <w:rPr>
          <w:szCs w:val="24"/>
        </w:rPr>
        <w:t xml:space="preserve">, 2013; Pastor, </w:t>
      </w:r>
      <w:proofErr w:type="spellStart"/>
      <w:r w:rsidR="007344D7" w:rsidRPr="00CA0DE8">
        <w:rPr>
          <w:szCs w:val="24"/>
        </w:rPr>
        <w:t>Glova</w:t>
      </w:r>
      <w:proofErr w:type="spellEnd"/>
      <w:r w:rsidR="007344D7" w:rsidRPr="00CA0DE8">
        <w:rPr>
          <w:szCs w:val="24"/>
        </w:rPr>
        <w:t xml:space="preserve">, </w:t>
      </w:r>
      <w:proofErr w:type="spellStart"/>
      <w:r w:rsidR="007344D7" w:rsidRPr="00CA0DE8">
        <w:rPr>
          <w:szCs w:val="24"/>
        </w:rPr>
        <w:t>Lipták</w:t>
      </w:r>
      <w:proofErr w:type="spellEnd"/>
      <w:r w:rsidR="007344D7" w:rsidRPr="00CA0DE8">
        <w:rPr>
          <w:szCs w:val="24"/>
        </w:rPr>
        <w:t xml:space="preserve"> y </w:t>
      </w:r>
      <w:proofErr w:type="spellStart"/>
      <w:r w:rsidR="007344D7" w:rsidRPr="00CA0DE8">
        <w:rPr>
          <w:szCs w:val="24"/>
        </w:rPr>
        <w:t>Kovác</w:t>
      </w:r>
      <w:proofErr w:type="spellEnd"/>
      <w:r w:rsidR="007344D7" w:rsidRPr="00CA0DE8">
        <w:rPr>
          <w:szCs w:val="24"/>
        </w:rPr>
        <w:t xml:space="preserve">, 2017; Sharma, 2012; </w:t>
      </w:r>
      <w:proofErr w:type="spellStart"/>
      <w:r w:rsidR="007344D7" w:rsidRPr="00CA0DE8">
        <w:rPr>
          <w:szCs w:val="24"/>
        </w:rPr>
        <w:t>Zambon</w:t>
      </w:r>
      <w:proofErr w:type="spellEnd"/>
      <w:r w:rsidR="007344D7" w:rsidRPr="00CA0DE8">
        <w:rPr>
          <w:szCs w:val="24"/>
        </w:rPr>
        <w:t>, 2017).</w:t>
      </w:r>
      <w:r w:rsidR="007E134E" w:rsidRPr="00CA0DE8">
        <w:rPr>
          <w:szCs w:val="24"/>
        </w:rPr>
        <w:t xml:space="preserve"> En efecto, </w:t>
      </w:r>
      <w:r w:rsidR="00E01FEC" w:rsidRPr="00CA0DE8">
        <w:rPr>
          <w:szCs w:val="24"/>
        </w:rPr>
        <w:t xml:space="preserve">el alto grado de incertidumbre asociado a los beneficios futuros esperados de muchos elementos intangibles, </w:t>
      </w:r>
      <w:r w:rsidR="007E134E" w:rsidRPr="00CA0DE8">
        <w:rPr>
          <w:szCs w:val="24"/>
        </w:rPr>
        <w:t xml:space="preserve">junto </w:t>
      </w:r>
      <w:r w:rsidR="00E01FEC" w:rsidRPr="00CA0DE8">
        <w:rPr>
          <w:szCs w:val="24"/>
        </w:rPr>
        <w:t xml:space="preserve">a las dificultades que entraña su medición fiable y la delimitación clara de su control o propiedad por parte del ente, </w:t>
      </w:r>
      <w:r w:rsidR="007E134E" w:rsidRPr="00CA0DE8">
        <w:rPr>
          <w:szCs w:val="24"/>
        </w:rPr>
        <w:t xml:space="preserve">son los principales problemas que se presentan </w:t>
      </w:r>
      <w:r w:rsidR="00E01FEC" w:rsidRPr="00CA0DE8">
        <w:rPr>
          <w:szCs w:val="24"/>
        </w:rPr>
        <w:t xml:space="preserve">para </w:t>
      </w:r>
      <w:r w:rsidR="007E134E" w:rsidRPr="00CA0DE8">
        <w:rPr>
          <w:szCs w:val="24"/>
        </w:rPr>
        <w:t>su</w:t>
      </w:r>
      <w:r w:rsidR="00E01FEC" w:rsidRPr="00CA0DE8">
        <w:rPr>
          <w:szCs w:val="24"/>
        </w:rPr>
        <w:t xml:space="preserve"> reconocimiento contable (Ficco, 2019)</w:t>
      </w:r>
      <w:r w:rsidR="005E39BB" w:rsidRPr="00CA0DE8">
        <w:rPr>
          <w:szCs w:val="24"/>
        </w:rPr>
        <w:t>.</w:t>
      </w:r>
      <w:r w:rsidR="00157E8C" w:rsidRPr="00CA0DE8">
        <w:rPr>
          <w:szCs w:val="24"/>
        </w:rPr>
        <w:t xml:space="preserve"> y lo que </w:t>
      </w:r>
      <w:r w:rsidR="007344D7" w:rsidRPr="00CA0DE8">
        <w:rPr>
          <w:szCs w:val="24"/>
        </w:rPr>
        <w:t xml:space="preserve">ha dado lugar a que </w:t>
      </w:r>
      <w:r w:rsidR="00157E8C" w:rsidRPr="00CA0DE8">
        <w:rPr>
          <w:szCs w:val="24"/>
        </w:rPr>
        <w:t xml:space="preserve">una gran parte de los </w:t>
      </w:r>
      <w:r w:rsidR="007344D7" w:rsidRPr="00CA0DE8">
        <w:rPr>
          <w:szCs w:val="24"/>
        </w:rPr>
        <w:t xml:space="preserve">elementos </w:t>
      </w:r>
      <w:r w:rsidR="00157E8C" w:rsidRPr="00CA0DE8">
        <w:rPr>
          <w:szCs w:val="24"/>
        </w:rPr>
        <w:t xml:space="preserve">que integran el CI de las </w:t>
      </w:r>
      <w:r w:rsidR="005E39BB" w:rsidRPr="00CA0DE8">
        <w:rPr>
          <w:szCs w:val="24"/>
        </w:rPr>
        <w:t xml:space="preserve">empresas </w:t>
      </w:r>
      <w:r w:rsidR="007344D7" w:rsidRPr="00CA0DE8">
        <w:rPr>
          <w:szCs w:val="24"/>
        </w:rPr>
        <w:t xml:space="preserve">queden fuera de </w:t>
      </w:r>
      <w:r w:rsidR="00157E8C" w:rsidRPr="00CA0DE8">
        <w:rPr>
          <w:szCs w:val="24"/>
        </w:rPr>
        <w:t>sus estados financieros.</w:t>
      </w:r>
    </w:p>
    <w:p w14:paraId="681395DE" w14:textId="5C5AAD3C" w:rsidR="00157E8C" w:rsidRPr="00CA0DE8" w:rsidRDefault="007344D7" w:rsidP="009426E1">
      <w:pPr>
        <w:spacing w:line="360" w:lineRule="auto"/>
        <w:jc w:val="both"/>
        <w:rPr>
          <w:szCs w:val="24"/>
        </w:rPr>
      </w:pPr>
      <w:r w:rsidRPr="00CA0DE8">
        <w:rPr>
          <w:szCs w:val="24"/>
        </w:rPr>
        <w:t>Frente a e</w:t>
      </w:r>
      <w:r w:rsidR="00157E8C" w:rsidRPr="00CA0DE8">
        <w:rPr>
          <w:szCs w:val="24"/>
        </w:rPr>
        <w:t>sta situación</w:t>
      </w:r>
      <w:r w:rsidRPr="00CA0DE8">
        <w:rPr>
          <w:szCs w:val="24"/>
        </w:rPr>
        <w:t>, y como una forma de paliar esta carencia de la contabilidad financiera, se han ido diseñando distintos métodos y modelos que brindan información sobre el CI, permitiendo su identificación y medición</w:t>
      </w:r>
      <w:r w:rsidR="001320EE" w:rsidRPr="00CA0DE8">
        <w:rPr>
          <w:szCs w:val="24"/>
        </w:rPr>
        <w:t xml:space="preserve"> </w:t>
      </w:r>
      <w:r w:rsidR="00E07999" w:rsidRPr="00CA0DE8">
        <w:rPr>
          <w:szCs w:val="24"/>
        </w:rPr>
        <w:t>más allá de los criterios contables,</w:t>
      </w:r>
      <w:r w:rsidR="001320EE" w:rsidRPr="00CA0DE8">
        <w:rPr>
          <w:szCs w:val="24"/>
        </w:rPr>
        <w:t xml:space="preserve"> en un sentido amplio, que </w:t>
      </w:r>
      <w:r w:rsidR="0057048D" w:rsidRPr="00CA0DE8">
        <w:rPr>
          <w:szCs w:val="24"/>
        </w:rPr>
        <w:t>-</w:t>
      </w:r>
      <w:r w:rsidR="00E07999" w:rsidRPr="00CA0DE8">
        <w:rPr>
          <w:szCs w:val="24"/>
        </w:rPr>
        <w:t xml:space="preserve">tal como </w:t>
      </w:r>
      <w:r w:rsidR="0057048D" w:rsidRPr="00CA0DE8">
        <w:rPr>
          <w:szCs w:val="24"/>
        </w:rPr>
        <w:t>señal</w:t>
      </w:r>
      <w:r w:rsidR="001320EE" w:rsidRPr="00CA0DE8">
        <w:rPr>
          <w:szCs w:val="24"/>
        </w:rPr>
        <w:t>an</w:t>
      </w:r>
      <w:r w:rsidR="00E07999" w:rsidRPr="00CA0DE8">
        <w:rPr>
          <w:szCs w:val="24"/>
        </w:rPr>
        <w:t xml:space="preserve"> Vázquez y</w:t>
      </w:r>
      <w:r w:rsidR="0057048D" w:rsidRPr="00CA0DE8">
        <w:rPr>
          <w:szCs w:val="24"/>
        </w:rPr>
        <w:t xml:space="preserve"> </w:t>
      </w:r>
      <w:proofErr w:type="spellStart"/>
      <w:r w:rsidR="0057048D" w:rsidRPr="00CA0DE8">
        <w:rPr>
          <w:szCs w:val="24"/>
        </w:rPr>
        <w:t>Bongianino</w:t>
      </w:r>
      <w:proofErr w:type="spellEnd"/>
      <w:r w:rsidR="0057048D" w:rsidRPr="00CA0DE8">
        <w:rPr>
          <w:szCs w:val="24"/>
        </w:rPr>
        <w:t xml:space="preserve"> (2005)-</w:t>
      </w:r>
      <w:r w:rsidR="00E07999" w:rsidRPr="00CA0DE8">
        <w:rPr>
          <w:szCs w:val="24"/>
        </w:rPr>
        <w:t xml:space="preserve"> involucra, en muchos casos, mediciones en términos relacionales de aspectos significativos del CI.</w:t>
      </w:r>
      <w:r w:rsidR="009426E1" w:rsidRPr="00CA0DE8">
        <w:rPr>
          <w:szCs w:val="24"/>
        </w:rPr>
        <w:t xml:space="preserve"> </w:t>
      </w:r>
      <w:r w:rsidR="00E07999" w:rsidRPr="00CA0DE8">
        <w:rPr>
          <w:szCs w:val="24"/>
        </w:rPr>
        <w:t xml:space="preserve">En este marco, </w:t>
      </w:r>
      <w:r w:rsidRPr="00CA0DE8">
        <w:rPr>
          <w:szCs w:val="24"/>
        </w:rPr>
        <w:t>la</w:t>
      </w:r>
      <w:r w:rsidR="0057048D" w:rsidRPr="00CA0DE8">
        <w:rPr>
          <w:szCs w:val="24"/>
        </w:rPr>
        <w:t>s</w:t>
      </w:r>
      <w:r w:rsidRPr="00CA0DE8">
        <w:rPr>
          <w:szCs w:val="24"/>
        </w:rPr>
        <w:t xml:space="preserve"> propuestas elaboradas </w:t>
      </w:r>
      <w:r w:rsidR="0057048D" w:rsidRPr="00CA0DE8">
        <w:rPr>
          <w:szCs w:val="24"/>
        </w:rPr>
        <w:t xml:space="preserve">son muy </w:t>
      </w:r>
      <w:proofErr w:type="gramStart"/>
      <w:r w:rsidR="0057048D" w:rsidRPr="00CA0DE8">
        <w:rPr>
          <w:szCs w:val="24"/>
        </w:rPr>
        <w:t>variadas</w:t>
      </w:r>
      <w:proofErr w:type="gramEnd"/>
      <w:r w:rsidRPr="00CA0DE8">
        <w:rPr>
          <w:szCs w:val="24"/>
        </w:rPr>
        <w:t xml:space="preserve"> </w:t>
      </w:r>
      <w:r w:rsidR="009426E1" w:rsidRPr="00CA0DE8">
        <w:rPr>
          <w:szCs w:val="24"/>
        </w:rPr>
        <w:t xml:space="preserve">pero, entre ellas, se destacan tres modelos, a saber: </w:t>
      </w:r>
      <w:r w:rsidR="00157E8C" w:rsidRPr="00CA0DE8">
        <w:rPr>
          <w:szCs w:val="24"/>
        </w:rPr>
        <w:t xml:space="preserve">el Navegador </w:t>
      </w:r>
      <w:proofErr w:type="spellStart"/>
      <w:r w:rsidR="00157E8C" w:rsidRPr="00CA0DE8">
        <w:rPr>
          <w:szCs w:val="24"/>
        </w:rPr>
        <w:t>Skandia</w:t>
      </w:r>
      <w:proofErr w:type="spellEnd"/>
      <w:r w:rsidR="00157E8C" w:rsidRPr="00CA0DE8">
        <w:rPr>
          <w:szCs w:val="24"/>
        </w:rPr>
        <w:t xml:space="preserve">, el </w:t>
      </w:r>
      <w:r w:rsidR="009426E1" w:rsidRPr="00CA0DE8">
        <w:rPr>
          <w:szCs w:val="24"/>
        </w:rPr>
        <w:t>Coeficiente de Valor Agr</w:t>
      </w:r>
      <w:r w:rsidR="0057048D" w:rsidRPr="00CA0DE8">
        <w:rPr>
          <w:szCs w:val="24"/>
        </w:rPr>
        <w:t>e</w:t>
      </w:r>
      <w:r w:rsidR="009426E1" w:rsidRPr="00CA0DE8">
        <w:rPr>
          <w:szCs w:val="24"/>
        </w:rPr>
        <w:t xml:space="preserve">gado Intelectual </w:t>
      </w:r>
      <w:r w:rsidR="00157E8C" w:rsidRPr="00CA0DE8">
        <w:rPr>
          <w:szCs w:val="24"/>
        </w:rPr>
        <w:t>(</w:t>
      </w:r>
      <w:proofErr w:type="spellStart"/>
      <w:r w:rsidR="00157E8C" w:rsidRPr="00CA0DE8">
        <w:rPr>
          <w:i/>
          <w:szCs w:val="24"/>
        </w:rPr>
        <w:t>Value</w:t>
      </w:r>
      <w:proofErr w:type="spellEnd"/>
      <w:r w:rsidR="00157E8C" w:rsidRPr="00CA0DE8">
        <w:rPr>
          <w:i/>
          <w:szCs w:val="24"/>
        </w:rPr>
        <w:t xml:space="preserve"> </w:t>
      </w:r>
      <w:proofErr w:type="spellStart"/>
      <w:r w:rsidR="00157E8C" w:rsidRPr="00CA0DE8">
        <w:rPr>
          <w:i/>
          <w:szCs w:val="24"/>
        </w:rPr>
        <w:t>Added</w:t>
      </w:r>
      <w:proofErr w:type="spellEnd"/>
      <w:r w:rsidR="00157E8C" w:rsidRPr="00CA0DE8">
        <w:rPr>
          <w:i/>
          <w:szCs w:val="24"/>
        </w:rPr>
        <w:t xml:space="preserve"> Intelectual </w:t>
      </w:r>
      <w:proofErr w:type="spellStart"/>
      <w:r w:rsidR="00157E8C" w:rsidRPr="00CA0DE8">
        <w:rPr>
          <w:i/>
          <w:szCs w:val="24"/>
        </w:rPr>
        <w:t>Coefficient</w:t>
      </w:r>
      <w:proofErr w:type="spellEnd"/>
      <w:r w:rsidR="009426E1" w:rsidRPr="00CA0DE8">
        <w:rPr>
          <w:szCs w:val="24"/>
        </w:rPr>
        <w:t xml:space="preserve"> - VAIC</w:t>
      </w:r>
      <w:r w:rsidR="00157E8C" w:rsidRPr="00CA0DE8">
        <w:rPr>
          <w:szCs w:val="24"/>
        </w:rPr>
        <w:t xml:space="preserve">) y el </w:t>
      </w:r>
      <w:r w:rsidR="009426E1" w:rsidRPr="00CA0DE8">
        <w:rPr>
          <w:szCs w:val="24"/>
        </w:rPr>
        <w:t xml:space="preserve">Valor Económico Agregado </w:t>
      </w:r>
      <w:r w:rsidR="00157E8C" w:rsidRPr="00CA0DE8">
        <w:rPr>
          <w:szCs w:val="24"/>
        </w:rPr>
        <w:t>(</w:t>
      </w:r>
      <w:proofErr w:type="spellStart"/>
      <w:r w:rsidR="00157E8C" w:rsidRPr="00CA0DE8">
        <w:rPr>
          <w:i/>
          <w:szCs w:val="24"/>
        </w:rPr>
        <w:t>Economic</w:t>
      </w:r>
      <w:proofErr w:type="spellEnd"/>
      <w:r w:rsidR="00724996" w:rsidRPr="00CA0DE8">
        <w:rPr>
          <w:i/>
          <w:szCs w:val="24"/>
        </w:rPr>
        <w:t xml:space="preserve"> </w:t>
      </w:r>
      <w:proofErr w:type="spellStart"/>
      <w:r w:rsidR="00157E8C" w:rsidRPr="00CA0DE8">
        <w:rPr>
          <w:i/>
          <w:szCs w:val="24"/>
        </w:rPr>
        <w:t>Value</w:t>
      </w:r>
      <w:proofErr w:type="spellEnd"/>
      <w:r w:rsidR="00157E8C" w:rsidRPr="00CA0DE8">
        <w:rPr>
          <w:i/>
          <w:szCs w:val="24"/>
        </w:rPr>
        <w:t xml:space="preserve"> </w:t>
      </w:r>
      <w:proofErr w:type="spellStart"/>
      <w:r w:rsidR="00157E8C" w:rsidRPr="00CA0DE8">
        <w:rPr>
          <w:i/>
          <w:szCs w:val="24"/>
        </w:rPr>
        <w:t>Added</w:t>
      </w:r>
      <w:proofErr w:type="spellEnd"/>
      <w:r w:rsidR="009426E1" w:rsidRPr="00CA0DE8">
        <w:rPr>
          <w:szCs w:val="24"/>
        </w:rPr>
        <w:t xml:space="preserve"> - EVA</w:t>
      </w:r>
      <w:r w:rsidR="00157E8C" w:rsidRPr="00CA0DE8">
        <w:rPr>
          <w:szCs w:val="24"/>
        </w:rPr>
        <w:t xml:space="preserve">), </w:t>
      </w:r>
      <w:r w:rsidR="009426E1" w:rsidRPr="00CA0DE8">
        <w:rPr>
          <w:szCs w:val="24"/>
        </w:rPr>
        <w:t xml:space="preserve">los </w:t>
      </w:r>
      <w:r w:rsidR="00157E8C" w:rsidRPr="00CA0DE8">
        <w:rPr>
          <w:szCs w:val="24"/>
        </w:rPr>
        <w:t xml:space="preserve">que </w:t>
      </w:r>
      <w:r w:rsidR="009426E1" w:rsidRPr="00CA0DE8">
        <w:rPr>
          <w:szCs w:val="24"/>
        </w:rPr>
        <w:t xml:space="preserve">si bien </w:t>
      </w:r>
      <w:r w:rsidR="00157E8C" w:rsidRPr="00CA0DE8">
        <w:rPr>
          <w:szCs w:val="24"/>
        </w:rPr>
        <w:t>brindan mediciones sobre el CI desde distintas perspectivas</w:t>
      </w:r>
      <w:r w:rsidR="009426E1" w:rsidRPr="00CA0DE8">
        <w:rPr>
          <w:szCs w:val="24"/>
        </w:rPr>
        <w:t xml:space="preserve">, tienen un importante potencial para </w:t>
      </w:r>
      <w:r w:rsidR="0057048D" w:rsidRPr="00CA0DE8">
        <w:rPr>
          <w:szCs w:val="24"/>
        </w:rPr>
        <w:t>mejorar la calidad de la información que las empresas pueden producir en relación con su</w:t>
      </w:r>
      <w:r w:rsidR="009426E1" w:rsidRPr="00CA0DE8">
        <w:rPr>
          <w:szCs w:val="24"/>
        </w:rPr>
        <w:t xml:space="preserve"> CI</w:t>
      </w:r>
      <w:r w:rsidR="00157E8C" w:rsidRPr="00CA0DE8">
        <w:rPr>
          <w:szCs w:val="24"/>
        </w:rPr>
        <w:t>.</w:t>
      </w:r>
    </w:p>
    <w:p w14:paraId="55242394" w14:textId="5C17EEA5" w:rsidR="00E40C86" w:rsidRPr="000A142D" w:rsidRDefault="009426E1" w:rsidP="00B363D3">
      <w:pPr>
        <w:spacing w:line="360" w:lineRule="auto"/>
        <w:jc w:val="both"/>
        <w:rPr>
          <w:szCs w:val="24"/>
        </w:rPr>
      </w:pPr>
      <w:r w:rsidRPr="000A142D">
        <w:rPr>
          <w:szCs w:val="24"/>
        </w:rPr>
        <w:lastRenderedPageBreak/>
        <w:t>Dentro de este</w:t>
      </w:r>
      <w:r w:rsidR="007344D7" w:rsidRPr="000A142D">
        <w:rPr>
          <w:szCs w:val="24"/>
        </w:rPr>
        <w:t xml:space="preserve"> marco problemático</w:t>
      </w:r>
      <w:r w:rsidRPr="000A142D">
        <w:rPr>
          <w:szCs w:val="24"/>
        </w:rPr>
        <w:t>,</w:t>
      </w:r>
      <w:r w:rsidR="007344D7" w:rsidRPr="000A142D">
        <w:rPr>
          <w:szCs w:val="24"/>
        </w:rPr>
        <w:t xml:space="preserve"> el presente </w:t>
      </w:r>
      <w:r w:rsidR="007A4D40" w:rsidRPr="000A142D">
        <w:rPr>
          <w:szCs w:val="24"/>
        </w:rPr>
        <w:t>trabajo</w:t>
      </w:r>
      <w:r w:rsidR="007344D7" w:rsidRPr="000A142D">
        <w:rPr>
          <w:szCs w:val="24"/>
        </w:rPr>
        <w:t xml:space="preserve"> tiene como objetivo</w:t>
      </w:r>
      <w:r w:rsidR="007A4D40" w:rsidRPr="000A142D">
        <w:rPr>
          <w:szCs w:val="24"/>
        </w:rPr>
        <w:t xml:space="preserve"> </w:t>
      </w:r>
      <w:r w:rsidR="00BD5560" w:rsidRPr="000A142D">
        <w:rPr>
          <w:szCs w:val="24"/>
        </w:rPr>
        <w:t xml:space="preserve">fundamental describir la forma en que se operativizan cada uno de estos </w:t>
      </w:r>
      <w:r w:rsidRPr="000A142D">
        <w:rPr>
          <w:szCs w:val="24"/>
        </w:rPr>
        <w:t xml:space="preserve">tres </w:t>
      </w:r>
      <w:r w:rsidR="00BD5560" w:rsidRPr="000A142D">
        <w:rPr>
          <w:szCs w:val="24"/>
        </w:rPr>
        <w:t xml:space="preserve">métodos, destacando la información que cada uno de ellos aporta respecto del CI </w:t>
      </w:r>
      <w:r w:rsidR="00FE0C52" w:rsidRPr="000A142D">
        <w:rPr>
          <w:szCs w:val="24"/>
        </w:rPr>
        <w:t>organizacional</w:t>
      </w:r>
      <w:r w:rsidRPr="000A142D">
        <w:rPr>
          <w:szCs w:val="24"/>
        </w:rPr>
        <w:t xml:space="preserve"> y sus posibilidades de complementaci</w:t>
      </w:r>
      <w:r w:rsidR="0057048D" w:rsidRPr="000A142D">
        <w:rPr>
          <w:szCs w:val="24"/>
        </w:rPr>
        <w:t>ón a</w:t>
      </w:r>
      <w:r w:rsidRPr="000A142D">
        <w:rPr>
          <w:szCs w:val="24"/>
        </w:rPr>
        <w:t xml:space="preserve"> los efectos de </w:t>
      </w:r>
      <w:r w:rsidR="0057048D" w:rsidRPr="000A142D">
        <w:rPr>
          <w:szCs w:val="24"/>
        </w:rPr>
        <w:t xml:space="preserve">generar información más completa sobre el CI </w:t>
      </w:r>
      <w:r w:rsidR="00D52836" w:rsidRPr="000A142D">
        <w:rPr>
          <w:szCs w:val="24"/>
        </w:rPr>
        <w:t>y su contribución la generación de valor</w:t>
      </w:r>
      <w:r w:rsidR="00FA3AE7" w:rsidRPr="000A142D">
        <w:rPr>
          <w:szCs w:val="24"/>
        </w:rPr>
        <w:t>.</w:t>
      </w:r>
    </w:p>
    <w:p w14:paraId="13EFAEE0" w14:textId="66D6DA73" w:rsidR="00E40C86" w:rsidRPr="000A142D" w:rsidRDefault="00BD5560" w:rsidP="00B363D3">
      <w:pPr>
        <w:spacing w:line="360" w:lineRule="auto"/>
        <w:jc w:val="both"/>
        <w:rPr>
          <w:szCs w:val="24"/>
        </w:rPr>
      </w:pPr>
      <w:r w:rsidRPr="000A142D">
        <w:rPr>
          <w:szCs w:val="24"/>
        </w:rPr>
        <w:t>En este sentido, la investigac</w:t>
      </w:r>
      <w:r w:rsidR="00A90962" w:rsidRPr="000A142D">
        <w:rPr>
          <w:szCs w:val="24"/>
        </w:rPr>
        <w:t>ión tiene carácter descriptivo y se sustenta en el análisis documental, concretado a través de la revisión y análisis de la literatura más relevante en la materia.</w:t>
      </w:r>
    </w:p>
    <w:p w14:paraId="00FDB962" w14:textId="22DC9E96" w:rsidR="00DB2849" w:rsidRPr="00CA0DE8" w:rsidRDefault="00FA3AE7" w:rsidP="00B363D3">
      <w:pPr>
        <w:spacing w:line="360" w:lineRule="auto"/>
        <w:jc w:val="both"/>
        <w:rPr>
          <w:szCs w:val="24"/>
        </w:rPr>
      </w:pPr>
      <w:r w:rsidRPr="00CA0DE8">
        <w:rPr>
          <w:szCs w:val="24"/>
        </w:rPr>
        <w:t xml:space="preserve">En lo que respecta a la estructura del trabajo, tras esta introducción, el mismo ha sido dividido en </w:t>
      </w:r>
      <w:r w:rsidR="005E39BB" w:rsidRPr="00CA0DE8">
        <w:rPr>
          <w:szCs w:val="24"/>
        </w:rPr>
        <w:t>cuatro</w:t>
      </w:r>
      <w:r w:rsidR="007A4D40" w:rsidRPr="00CA0DE8">
        <w:rPr>
          <w:szCs w:val="24"/>
        </w:rPr>
        <w:t xml:space="preserve"> </w:t>
      </w:r>
      <w:r w:rsidRPr="00CA0DE8">
        <w:rPr>
          <w:szCs w:val="24"/>
        </w:rPr>
        <w:t>p</w:t>
      </w:r>
      <w:r w:rsidR="007A4D40" w:rsidRPr="00CA0DE8">
        <w:rPr>
          <w:szCs w:val="24"/>
        </w:rPr>
        <w:t>arte</w:t>
      </w:r>
      <w:r w:rsidRPr="00CA0DE8">
        <w:rPr>
          <w:szCs w:val="24"/>
        </w:rPr>
        <w:t>s</w:t>
      </w:r>
      <w:r w:rsidR="007A4D40" w:rsidRPr="00CA0DE8">
        <w:rPr>
          <w:szCs w:val="24"/>
        </w:rPr>
        <w:t>. En la primera</w:t>
      </w:r>
      <w:r w:rsidR="000A142D">
        <w:rPr>
          <w:szCs w:val="24"/>
        </w:rPr>
        <w:t>,</w:t>
      </w:r>
      <w:r w:rsidR="007A4D40" w:rsidRPr="00CA0DE8">
        <w:rPr>
          <w:szCs w:val="24"/>
        </w:rPr>
        <w:t xml:space="preserve"> </w:t>
      </w:r>
      <w:r w:rsidR="005E39BB" w:rsidRPr="00CA0DE8">
        <w:rPr>
          <w:szCs w:val="24"/>
        </w:rPr>
        <w:t xml:space="preserve">se presenta la conceptualización de CI junto a la categorización de los elementos que </w:t>
      </w:r>
      <w:r w:rsidR="00DB2849" w:rsidRPr="00CA0DE8">
        <w:rPr>
          <w:szCs w:val="24"/>
        </w:rPr>
        <w:t>lo conforman</w:t>
      </w:r>
      <w:r w:rsidR="005E39BB" w:rsidRPr="00CA0DE8">
        <w:rPr>
          <w:szCs w:val="24"/>
        </w:rPr>
        <w:t xml:space="preserve">, lo que permite caracterizar sus diferentes dimensiones. En la segunda parte se </w:t>
      </w:r>
      <w:r w:rsidR="000A142D">
        <w:rPr>
          <w:szCs w:val="24"/>
        </w:rPr>
        <w:t>realiz</w:t>
      </w:r>
      <w:r w:rsidR="005E39BB" w:rsidRPr="00CA0DE8">
        <w:rPr>
          <w:szCs w:val="24"/>
        </w:rPr>
        <w:t xml:space="preserve">a un esbozo general de los métodos y modelos para </w:t>
      </w:r>
      <w:r w:rsidR="00DB2849" w:rsidRPr="00CA0DE8">
        <w:rPr>
          <w:szCs w:val="24"/>
        </w:rPr>
        <w:t>la</w:t>
      </w:r>
      <w:r w:rsidR="005E39BB" w:rsidRPr="00CA0DE8">
        <w:rPr>
          <w:szCs w:val="24"/>
        </w:rPr>
        <w:t xml:space="preserve"> identificación y medición</w:t>
      </w:r>
      <w:r w:rsidR="00DB2849" w:rsidRPr="00CA0DE8">
        <w:rPr>
          <w:szCs w:val="24"/>
        </w:rPr>
        <w:t xml:space="preserve"> del CI que han tenido mayor difusión, con especial énfasis en </w:t>
      </w:r>
      <w:r w:rsidR="00DB2849" w:rsidRPr="00CA0DE8">
        <w:rPr>
          <w:szCs w:val="24"/>
          <w:lang w:val="es-AR"/>
        </w:rPr>
        <w:t xml:space="preserve">aquellos que han sido pioneros en la temática. En la tercera, se exponen las principales características de los tres métodos que son objeto del presente trabajo y la forma en que se operativizan de cara a su aplicación en la práctica empresarial. En la cuarta parte se muestra de qué manera se pueden complementar para </w:t>
      </w:r>
      <w:r w:rsidR="00AC7586" w:rsidRPr="00CA0DE8">
        <w:rPr>
          <w:szCs w:val="24"/>
          <w:lang w:val="es-AR"/>
        </w:rPr>
        <w:t>produci</w:t>
      </w:r>
      <w:r w:rsidR="00DB2849" w:rsidRPr="00CA0DE8">
        <w:rPr>
          <w:szCs w:val="24"/>
          <w:lang w:val="es-AR"/>
        </w:rPr>
        <w:t xml:space="preserve">r información </w:t>
      </w:r>
      <w:r w:rsidR="00DB2849" w:rsidRPr="00CA0DE8">
        <w:rPr>
          <w:szCs w:val="24"/>
        </w:rPr>
        <w:t>más completa sobre el CI y la generación de valor por parte de las empresas. Finalmente, se exponen las conclusiones del estudio realizado.</w:t>
      </w:r>
    </w:p>
    <w:p w14:paraId="60039B10" w14:textId="77777777" w:rsidR="00DB2849" w:rsidRPr="00CA0DE8" w:rsidRDefault="00DB2849" w:rsidP="00B363D3">
      <w:pPr>
        <w:spacing w:line="360" w:lineRule="auto"/>
        <w:jc w:val="both"/>
        <w:rPr>
          <w:szCs w:val="24"/>
        </w:rPr>
      </w:pPr>
    </w:p>
    <w:p w14:paraId="0E214B08" w14:textId="51899D1B" w:rsidR="005E39BB" w:rsidRPr="00CA0DE8" w:rsidRDefault="00DB2849" w:rsidP="00DB2849">
      <w:pPr>
        <w:spacing w:line="360" w:lineRule="auto"/>
        <w:jc w:val="both"/>
        <w:rPr>
          <w:b/>
          <w:color w:val="FF0000"/>
          <w:szCs w:val="24"/>
        </w:rPr>
      </w:pPr>
      <w:r w:rsidRPr="00CA0DE8">
        <w:rPr>
          <w:b/>
          <w:szCs w:val="24"/>
        </w:rPr>
        <w:t xml:space="preserve">1- </w:t>
      </w:r>
      <w:r w:rsidR="005E39BB" w:rsidRPr="00CA0DE8">
        <w:rPr>
          <w:b/>
          <w:szCs w:val="24"/>
        </w:rPr>
        <w:t>El capital intelectual: conceptualización y dimensiones que lo integran</w:t>
      </w:r>
    </w:p>
    <w:p w14:paraId="04017FF2" w14:textId="3695BBC1" w:rsidR="00BE2CF1" w:rsidRPr="00CA0DE8" w:rsidRDefault="00BE2CF1" w:rsidP="001320EE">
      <w:pPr>
        <w:spacing w:line="360" w:lineRule="auto"/>
        <w:jc w:val="both"/>
        <w:rPr>
          <w:szCs w:val="24"/>
        </w:rPr>
      </w:pPr>
      <w:proofErr w:type="spellStart"/>
      <w:r w:rsidRPr="00CA0DE8">
        <w:rPr>
          <w:szCs w:val="24"/>
        </w:rPr>
        <w:t>Dumay</w:t>
      </w:r>
      <w:proofErr w:type="spellEnd"/>
      <w:r w:rsidRPr="00CA0DE8">
        <w:rPr>
          <w:szCs w:val="24"/>
        </w:rPr>
        <w:t xml:space="preserve"> (2016), sobre la base de la definición propuesta originalmente por Stewart (1998), conceptualiza al CI como la suma de todos los conocimientos que poseen todos los miembros de la empresa y que le dan a </w:t>
      </w:r>
      <w:r w:rsidR="00E37752">
        <w:rPr>
          <w:szCs w:val="24"/>
        </w:rPr>
        <w:t>é</w:t>
      </w:r>
      <w:r w:rsidRPr="00CA0DE8">
        <w:rPr>
          <w:szCs w:val="24"/>
        </w:rPr>
        <w:t>sta una ventaja competitiva, indicando que se trata de material intelectual, conocimiento, experiencia, propiedad intelectual, información, entre otros elementos, que pueden ser utilizado</w:t>
      </w:r>
      <w:r w:rsidR="00CA0DE8">
        <w:rPr>
          <w:szCs w:val="24"/>
        </w:rPr>
        <w:t>s</w:t>
      </w:r>
      <w:r w:rsidRPr="00CA0DE8">
        <w:rPr>
          <w:szCs w:val="24"/>
        </w:rPr>
        <w:t xml:space="preserve"> en la creación de valor.</w:t>
      </w:r>
    </w:p>
    <w:p w14:paraId="2DC11C09" w14:textId="35EEF253" w:rsidR="00CA0DE8" w:rsidRPr="00CA0DE8" w:rsidRDefault="00CA0DE8" w:rsidP="00CA0DE8">
      <w:pPr>
        <w:spacing w:line="360" w:lineRule="auto"/>
        <w:jc w:val="both"/>
        <w:rPr>
          <w:szCs w:val="24"/>
        </w:rPr>
      </w:pPr>
      <w:r w:rsidRPr="000A142D">
        <w:rPr>
          <w:szCs w:val="24"/>
        </w:rPr>
        <w:t>El CI representa, de este modo, de un concepto amplio, que abarca diferentes formas de recursos</w:t>
      </w:r>
      <w:r w:rsidRPr="00CA0DE8">
        <w:rPr>
          <w:szCs w:val="24"/>
        </w:rPr>
        <w:t xml:space="preserve"> y actividades intangibles que tienen, esencialmente, una naturaleza cognitiva y que le otorgan a la empresa capacidad para crear valor.</w:t>
      </w:r>
    </w:p>
    <w:p w14:paraId="54C166BA" w14:textId="16756E6D" w:rsidR="00C030CE" w:rsidRPr="00C030CE" w:rsidRDefault="00CA0DE8" w:rsidP="00CA0DE8">
      <w:pPr>
        <w:spacing w:line="360" w:lineRule="auto"/>
        <w:jc w:val="both"/>
        <w:rPr>
          <w:szCs w:val="24"/>
        </w:rPr>
      </w:pPr>
      <w:r w:rsidRPr="00C030CE">
        <w:rPr>
          <w:szCs w:val="24"/>
        </w:rPr>
        <w:t>La variada gama de elementos que lo componen ha dado lugar a su clasif</w:t>
      </w:r>
      <w:r w:rsidR="00C030CE">
        <w:rPr>
          <w:szCs w:val="24"/>
        </w:rPr>
        <w:t>ic</w:t>
      </w:r>
      <w:r w:rsidRPr="00C030CE">
        <w:rPr>
          <w:szCs w:val="24"/>
        </w:rPr>
        <w:t xml:space="preserve">ación en una serie de categorías o dimensiones, </w:t>
      </w:r>
      <w:r w:rsidR="00C030CE" w:rsidRPr="00C030CE">
        <w:rPr>
          <w:szCs w:val="24"/>
        </w:rPr>
        <w:t xml:space="preserve">siendo </w:t>
      </w:r>
      <w:r w:rsidRPr="00C030CE">
        <w:rPr>
          <w:szCs w:val="24"/>
        </w:rPr>
        <w:t>las correspondientes a capital humano</w:t>
      </w:r>
      <w:r w:rsidR="009B462F">
        <w:rPr>
          <w:szCs w:val="24"/>
        </w:rPr>
        <w:t xml:space="preserve"> (CH)</w:t>
      </w:r>
      <w:r w:rsidRPr="00C030CE">
        <w:rPr>
          <w:szCs w:val="24"/>
        </w:rPr>
        <w:t xml:space="preserve">, capital estructural </w:t>
      </w:r>
      <w:r w:rsidR="009B462F">
        <w:rPr>
          <w:szCs w:val="24"/>
        </w:rPr>
        <w:t xml:space="preserve">(CE) </w:t>
      </w:r>
      <w:r w:rsidRPr="00C030CE">
        <w:rPr>
          <w:szCs w:val="24"/>
        </w:rPr>
        <w:t>y capital relacional</w:t>
      </w:r>
      <w:r w:rsidR="00C030CE" w:rsidRPr="00C030CE">
        <w:rPr>
          <w:szCs w:val="24"/>
        </w:rPr>
        <w:t xml:space="preserve"> </w:t>
      </w:r>
      <w:r w:rsidR="009B462F">
        <w:rPr>
          <w:szCs w:val="24"/>
        </w:rPr>
        <w:t xml:space="preserve">(CR) </w:t>
      </w:r>
      <w:r w:rsidR="00C030CE" w:rsidRPr="00C030CE">
        <w:rPr>
          <w:szCs w:val="24"/>
        </w:rPr>
        <w:t>las que identifican la mayor parte de los autores.</w:t>
      </w:r>
    </w:p>
    <w:p w14:paraId="5C82C2C3" w14:textId="533A80D8" w:rsidR="00C030CE" w:rsidRDefault="001046A1" w:rsidP="00C030CE">
      <w:pPr>
        <w:spacing w:line="360" w:lineRule="auto"/>
        <w:jc w:val="both"/>
        <w:rPr>
          <w:szCs w:val="24"/>
        </w:rPr>
      </w:pPr>
      <w:r w:rsidRPr="00E77EE0">
        <w:rPr>
          <w:szCs w:val="24"/>
        </w:rPr>
        <w:t xml:space="preserve">El CH refiere al conocimiento </w:t>
      </w:r>
      <w:r w:rsidRPr="00350E15">
        <w:rPr>
          <w:szCs w:val="24"/>
        </w:rPr>
        <w:t xml:space="preserve">tácito </w:t>
      </w:r>
      <w:r w:rsidRPr="00350E15">
        <w:rPr>
          <w:iCs/>
          <w:szCs w:val="24"/>
          <w:lang w:val="es-ES_tradnl" w:eastAsia="es-ES_tradnl"/>
        </w:rPr>
        <w:t>que</w:t>
      </w:r>
      <w:r w:rsidRPr="00E77EE0">
        <w:rPr>
          <w:iCs/>
          <w:szCs w:val="24"/>
          <w:lang w:val="es-ES_tradnl" w:eastAsia="es-ES_tradnl"/>
        </w:rPr>
        <w:t xml:space="preserve"> reside en los empleados </w:t>
      </w:r>
      <w:r w:rsidR="009B462F">
        <w:rPr>
          <w:iCs/>
          <w:szCs w:val="24"/>
          <w:lang w:val="es-ES_tradnl" w:eastAsia="es-ES_tradnl"/>
        </w:rPr>
        <w:t>de la empresa</w:t>
      </w:r>
      <w:r w:rsidRPr="00350E15">
        <w:rPr>
          <w:szCs w:val="24"/>
        </w:rPr>
        <w:t xml:space="preserve"> </w:t>
      </w:r>
      <w:r w:rsidR="009B462F" w:rsidRPr="00350E15">
        <w:rPr>
          <w:szCs w:val="24"/>
        </w:rPr>
        <w:t>(</w:t>
      </w:r>
      <w:proofErr w:type="spellStart"/>
      <w:r w:rsidR="009B462F" w:rsidRPr="00350E15">
        <w:rPr>
          <w:szCs w:val="24"/>
        </w:rPr>
        <w:t>Bontis</w:t>
      </w:r>
      <w:proofErr w:type="spellEnd"/>
      <w:r w:rsidR="009B462F" w:rsidRPr="00350E15">
        <w:rPr>
          <w:szCs w:val="24"/>
        </w:rPr>
        <w:t>, 1998</w:t>
      </w:r>
      <w:r w:rsidR="009B462F">
        <w:rPr>
          <w:szCs w:val="24"/>
        </w:rPr>
        <w:t xml:space="preserve">; </w:t>
      </w:r>
      <w:proofErr w:type="spellStart"/>
      <w:r w:rsidRPr="00350E15">
        <w:rPr>
          <w:szCs w:val="24"/>
        </w:rPr>
        <w:t>Cañibano</w:t>
      </w:r>
      <w:proofErr w:type="spellEnd"/>
      <w:r w:rsidR="00980D71">
        <w:rPr>
          <w:szCs w:val="24"/>
        </w:rPr>
        <w:t xml:space="preserve">, Sánchez, García y </w:t>
      </w:r>
      <w:proofErr w:type="spellStart"/>
      <w:r w:rsidR="00980D71">
        <w:rPr>
          <w:szCs w:val="24"/>
        </w:rPr>
        <w:t>Chaminade</w:t>
      </w:r>
      <w:proofErr w:type="spellEnd"/>
      <w:r w:rsidRPr="00350E15">
        <w:rPr>
          <w:szCs w:val="24"/>
        </w:rPr>
        <w:t>, 2002)</w:t>
      </w:r>
      <w:r w:rsidR="009B462F">
        <w:rPr>
          <w:szCs w:val="24"/>
        </w:rPr>
        <w:t xml:space="preserve">, mientras que el </w:t>
      </w:r>
      <w:r w:rsidRPr="00E77EE0">
        <w:rPr>
          <w:iCs/>
          <w:szCs w:val="24"/>
          <w:lang w:val="es-ES_tradnl" w:eastAsia="es-ES_tradnl"/>
        </w:rPr>
        <w:t>CE</w:t>
      </w:r>
      <w:r w:rsidRPr="00E77EE0">
        <w:rPr>
          <w:szCs w:val="24"/>
        </w:rPr>
        <w:t xml:space="preserve"> es la infraestructura que incorpora, forma y sostiene al CH </w:t>
      </w:r>
      <w:r w:rsidRPr="00350E15">
        <w:rPr>
          <w:szCs w:val="24"/>
        </w:rPr>
        <w:t>(</w:t>
      </w:r>
      <w:proofErr w:type="spellStart"/>
      <w:r w:rsidRPr="00350E15">
        <w:rPr>
          <w:szCs w:val="24"/>
        </w:rPr>
        <w:t>Edvinsson</w:t>
      </w:r>
      <w:proofErr w:type="spellEnd"/>
      <w:r w:rsidRPr="00350E15">
        <w:rPr>
          <w:szCs w:val="24"/>
        </w:rPr>
        <w:t xml:space="preserve"> y Malone, 1997)</w:t>
      </w:r>
      <w:r w:rsidR="002B3B42">
        <w:rPr>
          <w:szCs w:val="24"/>
        </w:rPr>
        <w:t xml:space="preserve"> y que </w:t>
      </w:r>
      <w:r w:rsidRPr="00E77EE0">
        <w:rPr>
          <w:szCs w:val="24"/>
        </w:rPr>
        <w:t>permi</w:t>
      </w:r>
      <w:r w:rsidR="002B3B42">
        <w:rPr>
          <w:szCs w:val="24"/>
        </w:rPr>
        <w:t>te, por tanto, l</w:t>
      </w:r>
      <w:r w:rsidRPr="00E77EE0">
        <w:rPr>
          <w:szCs w:val="24"/>
        </w:rPr>
        <w:t xml:space="preserve">a conversión del conocimiento individual en </w:t>
      </w:r>
      <w:r w:rsidRPr="00350E15">
        <w:rPr>
          <w:szCs w:val="24"/>
        </w:rPr>
        <w:t xml:space="preserve">colectivo (Bollen, </w:t>
      </w:r>
      <w:proofErr w:type="spellStart"/>
      <w:r w:rsidRPr="00350E15">
        <w:rPr>
          <w:szCs w:val="24"/>
        </w:rPr>
        <w:t>Vergauwen</w:t>
      </w:r>
      <w:proofErr w:type="spellEnd"/>
      <w:r w:rsidRPr="00350E15">
        <w:rPr>
          <w:szCs w:val="24"/>
        </w:rPr>
        <w:t xml:space="preserve"> y </w:t>
      </w:r>
      <w:proofErr w:type="spellStart"/>
      <w:r w:rsidRPr="00350E15">
        <w:rPr>
          <w:szCs w:val="24"/>
        </w:rPr>
        <w:t>Schnieders</w:t>
      </w:r>
      <w:proofErr w:type="spellEnd"/>
      <w:r w:rsidRPr="00350E15">
        <w:rPr>
          <w:szCs w:val="24"/>
        </w:rPr>
        <w:t>, 2005)</w:t>
      </w:r>
      <w:r w:rsidR="009B462F">
        <w:rPr>
          <w:szCs w:val="24"/>
        </w:rPr>
        <w:t xml:space="preserve">. </w:t>
      </w:r>
      <w:r w:rsidR="005224BA">
        <w:rPr>
          <w:szCs w:val="24"/>
        </w:rPr>
        <w:lastRenderedPageBreak/>
        <w:t xml:space="preserve">Se incluyen también, dentro del CE, a </w:t>
      </w:r>
      <w:r w:rsidRPr="00E77EE0">
        <w:rPr>
          <w:szCs w:val="24"/>
        </w:rPr>
        <w:t xml:space="preserve">los elementos que </w:t>
      </w:r>
      <w:r w:rsidR="005224BA">
        <w:rPr>
          <w:szCs w:val="24"/>
        </w:rPr>
        <w:t>hacen a la capacidad de innovación de la empresa, así como a sus</w:t>
      </w:r>
      <w:r w:rsidRPr="00E77EE0">
        <w:rPr>
          <w:szCs w:val="24"/>
        </w:rPr>
        <w:t xml:space="preserve"> resultados </w:t>
      </w:r>
      <w:r w:rsidRPr="00F552E0">
        <w:rPr>
          <w:szCs w:val="24"/>
        </w:rPr>
        <w:t xml:space="preserve">(Ochoa, Prieto y </w:t>
      </w:r>
      <w:proofErr w:type="spellStart"/>
      <w:r w:rsidRPr="00F552E0">
        <w:rPr>
          <w:szCs w:val="24"/>
        </w:rPr>
        <w:t>Santidrián</w:t>
      </w:r>
      <w:proofErr w:type="spellEnd"/>
      <w:r w:rsidRPr="00F552E0">
        <w:rPr>
          <w:szCs w:val="24"/>
        </w:rPr>
        <w:t xml:space="preserve">, 2010), </w:t>
      </w:r>
      <w:r w:rsidR="005224BA">
        <w:rPr>
          <w:szCs w:val="24"/>
        </w:rPr>
        <w:t xml:space="preserve">lo que ha dado lugar </w:t>
      </w:r>
      <w:r w:rsidR="005224BA" w:rsidRPr="005224BA">
        <w:rPr>
          <w:szCs w:val="24"/>
        </w:rPr>
        <w:t xml:space="preserve">a la </w:t>
      </w:r>
      <w:r w:rsidRPr="005224BA">
        <w:rPr>
          <w:szCs w:val="24"/>
        </w:rPr>
        <w:t xml:space="preserve">distinción </w:t>
      </w:r>
      <w:r w:rsidR="005224BA" w:rsidRPr="005224BA">
        <w:rPr>
          <w:szCs w:val="24"/>
        </w:rPr>
        <w:t xml:space="preserve">de dos grandes componentes dentro del CE, como son el </w:t>
      </w:r>
      <w:r w:rsidRPr="005224BA">
        <w:rPr>
          <w:szCs w:val="24"/>
        </w:rPr>
        <w:t>capital organizacional y capital de renovación y desarrollo</w:t>
      </w:r>
      <w:r w:rsidR="005224BA" w:rsidRPr="005224BA">
        <w:rPr>
          <w:szCs w:val="24"/>
        </w:rPr>
        <w:t xml:space="preserve"> (</w:t>
      </w:r>
      <w:proofErr w:type="spellStart"/>
      <w:r w:rsidRPr="005224BA">
        <w:rPr>
          <w:szCs w:val="24"/>
        </w:rPr>
        <w:t>Edvinsson</w:t>
      </w:r>
      <w:proofErr w:type="spellEnd"/>
      <w:r w:rsidRPr="005224BA">
        <w:rPr>
          <w:szCs w:val="24"/>
        </w:rPr>
        <w:t xml:space="preserve"> y Malone</w:t>
      </w:r>
      <w:r w:rsidR="005224BA" w:rsidRPr="005224BA">
        <w:rPr>
          <w:szCs w:val="24"/>
        </w:rPr>
        <w:t xml:space="preserve">, </w:t>
      </w:r>
      <w:r w:rsidRPr="005224BA">
        <w:rPr>
          <w:szCs w:val="24"/>
        </w:rPr>
        <w:t>1997</w:t>
      </w:r>
      <w:r w:rsidR="005224BA" w:rsidRPr="005224BA">
        <w:rPr>
          <w:szCs w:val="24"/>
        </w:rPr>
        <w:t>; R</w:t>
      </w:r>
      <w:r w:rsidRPr="005224BA">
        <w:rPr>
          <w:szCs w:val="24"/>
        </w:rPr>
        <w:t xml:space="preserve">oss, Ross, </w:t>
      </w:r>
      <w:proofErr w:type="spellStart"/>
      <w:r w:rsidRPr="005224BA">
        <w:rPr>
          <w:szCs w:val="24"/>
        </w:rPr>
        <w:t>Dragonetti</w:t>
      </w:r>
      <w:proofErr w:type="spellEnd"/>
      <w:r w:rsidRPr="005224BA">
        <w:rPr>
          <w:szCs w:val="24"/>
        </w:rPr>
        <w:t xml:space="preserve"> y </w:t>
      </w:r>
      <w:proofErr w:type="spellStart"/>
      <w:r w:rsidRPr="005224BA">
        <w:rPr>
          <w:szCs w:val="24"/>
        </w:rPr>
        <w:t>Edvinson</w:t>
      </w:r>
      <w:proofErr w:type="spellEnd"/>
      <w:r w:rsidR="005224BA" w:rsidRPr="005224BA">
        <w:rPr>
          <w:szCs w:val="24"/>
        </w:rPr>
        <w:t xml:space="preserve">, </w:t>
      </w:r>
      <w:r w:rsidRPr="005224BA">
        <w:rPr>
          <w:szCs w:val="24"/>
        </w:rPr>
        <w:t xml:space="preserve">2001). </w:t>
      </w:r>
      <w:r w:rsidR="005224BA">
        <w:rPr>
          <w:szCs w:val="24"/>
        </w:rPr>
        <w:t>Por su parte, e</w:t>
      </w:r>
      <w:r w:rsidRPr="005224BA">
        <w:rPr>
          <w:szCs w:val="24"/>
        </w:rPr>
        <w:t xml:space="preserve">l CR </w:t>
      </w:r>
      <w:r w:rsidR="005224BA">
        <w:rPr>
          <w:szCs w:val="24"/>
        </w:rPr>
        <w:t xml:space="preserve">se conforma por </w:t>
      </w:r>
      <w:r w:rsidRPr="005224BA">
        <w:rPr>
          <w:szCs w:val="24"/>
        </w:rPr>
        <w:t xml:space="preserve">la red de relaciones de la empresa con diferentes </w:t>
      </w:r>
      <w:proofErr w:type="spellStart"/>
      <w:r w:rsidRPr="005224BA">
        <w:rPr>
          <w:i/>
          <w:szCs w:val="24"/>
        </w:rPr>
        <w:t>stakeholders</w:t>
      </w:r>
      <w:proofErr w:type="spellEnd"/>
      <w:r w:rsidRPr="00F552E0">
        <w:rPr>
          <w:szCs w:val="24"/>
        </w:rPr>
        <w:t xml:space="preserve"> (Ross et al., 2001)</w:t>
      </w:r>
      <w:r w:rsidR="005224BA">
        <w:rPr>
          <w:szCs w:val="24"/>
        </w:rPr>
        <w:t xml:space="preserve">, siendo, así, </w:t>
      </w:r>
      <w:r w:rsidRPr="00D421A3">
        <w:rPr>
          <w:szCs w:val="24"/>
        </w:rPr>
        <w:t>una dimensión externa</w:t>
      </w:r>
      <w:r w:rsidRPr="00E77EE0">
        <w:rPr>
          <w:szCs w:val="24"/>
        </w:rPr>
        <w:t xml:space="preserve"> a la empresa, que incluye también los nombres de sus productos, las marcas y su reputación o imagen </w:t>
      </w:r>
      <w:r w:rsidRPr="000805D2">
        <w:rPr>
          <w:szCs w:val="24"/>
        </w:rPr>
        <w:t xml:space="preserve">(Ficco, 2020). </w:t>
      </w:r>
      <w:r w:rsidR="00C030CE" w:rsidRPr="00F92C31">
        <w:rPr>
          <w:szCs w:val="24"/>
        </w:rPr>
        <w:t>La Tabla 1 muestra las distintas dimensiones del CI y los diferentes componentes que integran cada dimensión</w:t>
      </w:r>
      <w:r w:rsidR="009B462F">
        <w:rPr>
          <w:szCs w:val="24"/>
        </w:rPr>
        <w:t>.</w:t>
      </w:r>
    </w:p>
    <w:p w14:paraId="268F391F" w14:textId="1388946E" w:rsidR="009B462F" w:rsidRDefault="009B462F" w:rsidP="00C030CE">
      <w:pPr>
        <w:spacing w:line="360" w:lineRule="auto"/>
        <w:jc w:val="both"/>
        <w:rPr>
          <w:szCs w:val="24"/>
        </w:rPr>
      </w:pPr>
    </w:p>
    <w:p w14:paraId="1F768B08" w14:textId="77777777" w:rsidR="00C030CE" w:rsidRPr="00BA7F06" w:rsidRDefault="00C030CE" w:rsidP="00C030CE">
      <w:pPr>
        <w:spacing w:line="360" w:lineRule="auto"/>
        <w:jc w:val="center"/>
        <w:rPr>
          <w:b/>
        </w:rPr>
      </w:pPr>
      <w:r w:rsidRPr="00BA7F06">
        <w:rPr>
          <w:b/>
        </w:rPr>
        <w:t>Tabla 1. Dimensiones del CI y componentes o elementos que integran cada dimensión</w:t>
      </w:r>
      <w:r>
        <w:rPr>
          <w:b/>
        </w:rPr>
        <w:t xml:space="preserve"> </w:t>
      </w: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3041"/>
      </w:tblGrid>
      <w:tr w:rsidR="00C030CE" w:rsidRPr="0097042F" w14:paraId="2DA4A8C9" w14:textId="77777777" w:rsidTr="00513C95">
        <w:tc>
          <w:tcPr>
            <w:tcW w:w="2942" w:type="dxa"/>
            <w:tcBorders>
              <w:top w:val="single" w:sz="4" w:space="0" w:color="auto"/>
              <w:bottom w:val="single" w:sz="4" w:space="0" w:color="auto"/>
            </w:tcBorders>
            <w:shd w:val="clear" w:color="auto" w:fill="D9D9D9" w:themeFill="background1" w:themeFillShade="D9"/>
          </w:tcPr>
          <w:p w14:paraId="21C083BB" w14:textId="77777777" w:rsidR="00C030CE" w:rsidRPr="0097042F" w:rsidRDefault="00C030CE" w:rsidP="00D12EC2">
            <w:pPr>
              <w:spacing w:line="360" w:lineRule="auto"/>
              <w:jc w:val="center"/>
              <w:rPr>
                <w:b/>
                <w:sz w:val="22"/>
                <w:szCs w:val="22"/>
              </w:rPr>
            </w:pPr>
            <w:r w:rsidRPr="0097042F">
              <w:rPr>
                <w:b/>
                <w:sz w:val="22"/>
                <w:szCs w:val="22"/>
              </w:rPr>
              <w:t>CAPITAL HUMANO</w:t>
            </w:r>
          </w:p>
        </w:tc>
        <w:tc>
          <w:tcPr>
            <w:tcW w:w="2943" w:type="dxa"/>
            <w:tcBorders>
              <w:top w:val="single" w:sz="4" w:space="0" w:color="auto"/>
              <w:bottom w:val="single" w:sz="4" w:space="0" w:color="auto"/>
            </w:tcBorders>
            <w:shd w:val="clear" w:color="auto" w:fill="D9D9D9" w:themeFill="background1" w:themeFillShade="D9"/>
          </w:tcPr>
          <w:p w14:paraId="718A5DE5" w14:textId="77777777" w:rsidR="00C030CE" w:rsidRPr="0097042F" w:rsidRDefault="00C030CE" w:rsidP="00D12EC2">
            <w:pPr>
              <w:spacing w:line="360" w:lineRule="auto"/>
              <w:jc w:val="center"/>
              <w:rPr>
                <w:b/>
                <w:sz w:val="22"/>
                <w:szCs w:val="22"/>
              </w:rPr>
            </w:pPr>
            <w:r w:rsidRPr="0097042F">
              <w:rPr>
                <w:b/>
                <w:sz w:val="22"/>
                <w:szCs w:val="22"/>
              </w:rPr>
              <w:t>CAPITAL ESTRUCTURAL</w:t>
            </w:r>
          </w:p>
        </w:tc>
        <w:tc>
          <w:tcPr>
            <w:tcW w:w="3041" w:type="dxa"/>
            <w:tcBorders>
              <w:top w:val="single" w:sz="4" w:space="0" w:color="auto"/>
              <w:bottom w:val="single" w:sz="4" w:space="0" w:color="auto"/>
            </w:tcBorders>
            <w:shd w:val="clear" w:color="auto" w:fill="D9D9D9" w:themeFill="background1" w:themeFillShade="D9"/>
          </w:tcPr>
          <w:p w14:paraId="64410689" w14:textId="77777777" w:rsidR="00C030CE" w:rsidRPr="0097042F" w:rsidRDefault="00C030CE" w:rsidP="00D12EC2">
            <w:pPr>
              <w:spacing w:line="360" w:lineRule="auto"/>
              <w:jc w:val="center"/>
              <w:rPr>
                <w:b/>
                <w:sz w:val="22"/>
                <w:szCs w:val="22"/>
              </w:rPr>
            </w:pPr>
            <w:r w:rsidRPr="0097042F">
              <w:rPr>
                <w:b/>
                <w:sz w:val="22"/>
                <w:szCs w:val="22"/>
              </w:rPr>
              <w:t>CAPITAL RELACIONAL</w:t>
            </w:r>
          </w:p>
        </w:tc>
      </w:tr>
      <w:tr w:rsidR="00C030CE" w:rsidRPr="0097042F" w14:paraId="7B8B5802" w14:textId="77777777" w:rsidTr="00513C95">
        <w:tc>
          <w:tcPr>
            <w:tcW w:w="2942" w:type="dxa"/>
            <w:tcBorders>
              <w:top w:val="single" w:sz="4" w:space="0" w:color="auto"/>
              <w:bottom w:val="single" w:sz="4" w:space="0" w:color="auto"/>
            </w:tcBorders>
          </w:tcPr>
          <w:p w14:paraId="20EBF9E4"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Nivel educativo</w:t>
            </w:r>
          </w:p>
          <w:p w14:paraId="17DE75A0"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Saber hacer (</w:t>
            </w:r>
            <w:proofErr w:type="spellStart"/>
            <w:r w:rsidRPr="0097042F">
              <w:rPr>
                <w:i/>
                <w:iCs/>
                <w:sz w:val="22"/>
                <w:szCs w:val="22"/>
              </w:rPr>
              <w:t>know</w:t>
            </w:r>
            <w:proofErr w:type="spellEnd"/>
            <w:r w:rsidRPr="0097042F">
              <w:rPr>
                <w:i/>
                <w:iCs/>
                <w:sz w:val="22"/>
                <w:szCs w:val="22"/>
              </w:rPr>
              <w:t xml:space="preserve"> </w:t>
            </w:r>
            <w:proofErr w:type="spellStart"/>
            <w:r w:rsidRPr="0097042F">
              <w:rPr>
                <w:i/>
                <w:iCs/>
                <w:sz w:val="22"/>
                <w:szCs w:val="22"/>
              </w:rPr>
              <w:t>how</w:t>
            </w:r>
            <w:proofErr w:type="spellEnd"/>
            <w:r w:rsidRPr="0097042F">
              <w:rPr>
                <w:iCs/>
                <w:sz w:val="22"/>
                <w:szCs w:val="22"/>
              </w:rPr>
              <w:t>)</w:t>
            </w:r>
          </w:p>
          <w:p w14:paraId="4C532DC7"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Calificación profesional</w:t>
            </w:r>
          </w:p>
          <w:p w14:paraId="2E0FFD0B"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Conocimiento profesional</w:t>
            </w:r>
          </w:p>
          <w:p w14:paraId="366B48FE"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Experiencia previa</w:t>
            </w:r>
          </w:p>
          <w:p w14:paraId="4CDC0261"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Capacidad para aprender</w:t>
            </w:r>
          </w:p>
          <w:p w14:paraId="2F540F5E"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Capacidad para innovar</w:t>
            </w:r>
          </w:p>
          <w:p w14:paraId="46DE519B"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Capacidad emprendedora</w:t>
            </w:r>
          </w:p>
          <w:p w14:paraId="59ED7396"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Creatividad</w:t>
            </w:r>
          </w:p>
          <w:p w14:paraId="057817E3"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Capacidad de negociación</w:t>
            </w:r>
          </w:p>
          <w:p w14:paraId="6B39237F"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Capacidad para trabajar en equipo</w:t>
            </w:r>
          </w:p>
          <w:p w14:paraId="0A13BCA5"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Flexibilidad del empleado (habilidad para cambiar)</w:t>
            </w:r>
          </w:p>
          <w:p w14:paraId="3238C302"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Habilidad para actuar</w:t>
            </w:r>
          </w:p>
          <w:p w14:paraId="469DFEFD"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Motivación</w:t>
            </w:r>
          </w:p>
          <w:p w14:paraId="364C12E4"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Satisfacción</w:t>
            </w:r>
          </w:p>
          <w:p w14:paraId="1F7D8CA5"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Lealtad</w:t>
            </w:r>
          </w:p>
          <w:p w14:paraId="2E896B49"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Rendimiento</w:t>
            </w:r>
          </w:p>
          <w:p w14:paraId="68E5A516"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Diversidad cultural</w:t>
            </w:r>
          </w:p>
          <w:p w14:paraId="4CFB2777"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Salud y seguridad</w:t>
            </w:r>
          </w:p>
        </w:tc>
        <w:tc>
          <w:tcPr>
            <w:tcW w:w="2943" w:type="dxa"/>
            <w:tcBorders>
              <w:top w:val="single" w:sz="4" w:space="0" w:color="auto"/>
              <w:bottom w:val="single" w:sz="4" w:space="0" w:color="auto"/>
            </w:tcBorders>
          </w:tcPr>
          <w:p w14:paraId="5A25DE57"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Estructura organizativa</w:t>
            </w:r>
          </w:p>
          <w:p w14:paraId="79CF8ED6"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Cultura organizacional</w:t>
            </w:r>
          </w:p>
          <w:p w14:paraId="2AA7A2C7"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Procesos</w:t>
            </w:r>
          </w:p>
          <w:p w14:paraId="7C1C69A8"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Modelo de gestión</w:t>
            </w:r>
          </w:p>
          <w:p w14:paraId="690E492A"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Gobierno corporativo</w:t>
            </w:r>
          </w:p>
          <w:p w14:paraId="6419C944"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Sistemas de información y de comunicación</w:t>
            </w:r>
          </w:p>
          <w:p w14:paraId="4C4B1CF4"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Bases de datos</w:t>
            </w:r>
          </w:p>
          <w:p w14:paraId="78A2A204"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Sistemas de control</w:t>
            </w:r>
          </w:p>
          <w:p w14:paraId="122E6A71"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Sistemas de redes informáticas</w:t>
            </w:r>
          </w:p>
          <w:p w14:paraId="19B6359D"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Software</w:t>
            </w:r>
          </w:p>
          <w:p w14:paraId="7E33833A"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Tecnologías</w:t>
            </w:r>
          </w:p>
          <w:p w14:paraId="193E34F2"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Flexibilidad organizativa</w:t>
            </w:r>
          </w:p>
          <w:p w14:paraId="0281D88C"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Capacidad organizativa de aprender</w:t>
            </w:r>
          </w:p>
          <w:p w14:paraId="4A5D21EA"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Esfuerzos de I+D</w:t>
            </w:r>
          </w:p>
          <w:p w14:paraId="71EAEA8B"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Propiedad Intelectual</w:t>
            </w:r>
          </w:p>
          <w:p w14:paraId="5C34D3DA"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Patentes</w:t>
            </w:r>
          </w:p>
        </w:tc>
        <w:tc>
          <w:tcPr>
            <w:tcW w:w="3041" w:type="dxa"/>
            <w:tcBorders>
              <w:top w:val="single" w:sz="4" w:space="0" w:color="auto"/>
              <w:bottom w:val="single" w:sz="4" w:space="0" w:color="auto"/>
            </w:tcBorders>
          </w:tcPr>
          <w:p w14:paraId="71B027B0"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Nombres de los productos</w:t>
            </w:r>
          </w:p>
          <w:p w14:paraId="0DEF6E72"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Marcas</w:t>
            </w:r>
          </w:p>
          <w:p w14:paraId="356CC748"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Imagen de la empresa</w:t>
            </w:r>
          </w:p>
          <w:p w14:paraId="2925F404"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Bases de datos de clientes</w:t>
            </w:r>
          </w:p>
          <w:p w14:paraId="300F15A5"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Lealtad y la satisfacción de los clientes</w:t>
            </w:r>
          </w:p>
          <w:p w14:paraId="4DBE2CC3"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Bases de datos de proveedores</w:t>
            </w:r>
          </w:p>
          <w:p w14:paraId="13C81C2B"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Pactos con los proveedores</w:t>
            </w:r>
          </w:p>
          <w:p w14:paraId="7EED639A"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Acuerdos de cooperación</w:t>
            </w:r>
          </w:p>
          <w:p w14:paraId="7412FDCF"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Alianzas estratégicas</w:t>
            </w:r>
          </w:p>
          <w:p w14:paraId="179FD993"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Poder comercial</w:t>
            </w:r>
          </w:p>
          <w:p w14:paraId="6A6A9B1D"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Capacidad de negociación con instituciones financieras, reguladores, etc.</w:t>
            </w:r>
          </w:p>
          <w:p w14:paraId="16CDA904"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Compromiso social</w:t>
            </w:r>
          </w:p>
          <w:p w14:paraId="6AD9AD22"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Defensa del medio ambiente</w:t>
            </w:r>
          </w:p>
          <w:p w14:paraId="3BD3D169"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Reputación corporativa</w:t>
            </w:r>
          </w:p>
          <w:p w14:paraId="48157DE3" w14:textId="77777777" w:rsidR="00C030CE" w:rsidRPr="0097042F" w:rsidRDefault="00C030CE" w:rsidP="00C030CE">
            <w:pPr>
              <w:pStyle w:val="Prrafodelista"/>
              <w:numPr>
                <w:ilvl w:val="0"/>
                <w:numId w:val="27"/>
              </w:numPr>
              <w:autoSpaceDE w:val="0"/>
              <w:autoSpaceDN w:val="0"/>
              <w:adjustRightInd w:val="0"/>
              <w:ind w:left="357" w:hanging="357"/>
              <w:outlineLvl w:val="0"/>
              <w:rPr>
                <w:iCs/>
                <w:sz w:val="22"/>
                <w:szCs w:val="22"/>
              </w:rPr>
            </w:pPr>
            <w:r w:rsidRPr="0097042F">
              <w:rPr>
                <w:iCs/>
                <w:sz w:val="22"/>
                <w:szCs w:val="22"/>
              </w:rPr>
              <w:t>Posicionamiento en el mercado</w:t>
            </w:r>
          </w:p>
        </w:tc>
      </w:tr>
    </w:tbl>
    <w:p w14:paraId="2BBC502B" w14:textId="2D3A7FDB" w:rsidR="00C030CE" w:rsidRPr="0097042F" w:rsidRDefault="00C030CE" w:rsidP="00C030CE">
      <w:pPr>
        <w:spacing w:line="360" w:lineRule="auto"/>
        <w:jc w:val="right"/>
        <w:rPr>
          <w:szCs w:val="24"/>
        </w:rPr>
      </w:pPr>
      <w:r w:rsidRPr="0097042F">
        <w:rPr>
          <w:szCs w:val="24"/>
        </w:rPr>
        <w:t xml:space="preserve">Fuente: </w:t>
      </w:r>
      <w:proofErr w:type="spellStart"/>
      <w:r w:rsidR="001046A1" w:rsidRPr="0097042F">
        <w:rPr>
          <w:iCs/>
          <w:szCs w:val="24"/>
          <w:lang w:val="es-ES_tradnl" w:eastAsia="es-ES_tradnl"/>
        </w:rPr>
        <w:t>Ficco</w:t>
      </w:r>
      <w:proofErr w:type="spellEnd"/>
      <w:r w:rsidR="001046A1" w:rsidRPr="0097042F">
        <w:rPr>
          <w:iCs/>
          <w:szCs w:val="24"/>
          <w:lang w:val="es-ES_tradnl" w:eastAsia="es-ES_tradnl"/>
        </w:rPr>
        <w:t xml:space="preserve">, García, </w:t>
      </w:r>
      <w:proofErr w:type="spellStart"/>
      <w:r w:rsidR="001046A1" w:rsidRPr="0097042F">
        <w:rPr>
          <w:iCs/>
          <w:szCs w:val="24"/>
          <w:lang w:val="es-ES_tradnl" w:eastAsia="es-ES_tradnl"/>
        </w:rPr>
        <w:t>Sader</w:t>
      </w:r>
      <w:proofErr w:type="spellEnd"/>
      <w:r w:rsidR="001046A1" w:rsidRPr="0097042F">
        <w:rPr>
          <w:iCs/>
          <w:szCs w:val="24"/>
          <w:lang w:val="es-ES_tradnl" w:eastAsia="es-ES_tradnl"/>
        </w:rPr>
        <w:t xml:space="preserve"> y Luna </w:t>
      </w:r>
      <w:r w:rsidRPr="0097042F">
        <w:rPr>
          <w:szCs w:val="24"/>
        </w:rPr>
        <w:t>(20</w:t>
      </w:r>
      <w:r w:rsidR="001046A1" w:rsidRPr="0097042F">
        <w:rPr>
          <w:szCs w:val="24"/>
        </w:rPr>
        <w:t>21)</w:t>
      </w:r>
    </w:p>
    <w:p w14:paraId="71B17FFC" w14:textId="7CD8A536" w:rsidR="00CA0DE8" w:rsidRDefault="00CA0DE8" w:rsidP="001320EE">
      <w:pPr>
        <w:spacing w:line="360" w:lineRule="auto"/>
        <w:jc w:val="both"/>
        <w:rPr>
          <w:b/>
          <w:szCs w:val="24"/>
        </w:rPr>
      </w:pPr>
    </w:p>
    <w:p w14:paraId="1E46F364" w14:textId="77777777" w:rsidR="009B462F" w:rsidRPr="00CA0DE8" w:rsidRDefault="009B462F" w:rsidP="001320EE">
      <w:pPr>
        <w:spacing w:line="360" w:lineRule="auto"/>
        <w:jc w:val="both"/>
        <w:rPr>
          <w:b/>
          <w:szCs w:val="24"/>
        </w:rPr>
      </w:pPr>
    </w:p>
    <w:p w14:paraId="72C6355A" w14:textId="758BE2CD" w:rsidR="00DB2849" w:rsidRPr="00CA0DE8" w:rsidRDefault="00DB2849" w:rsidP="00DB2849">
      <w:pPr>
        <w:spacing w:line="360" w:lineRule="auto"/>
        <w:jc w:val="both"/>
        <w:rPr>
          <w:b/>
          <w:color w:val="FF0000"/>
          <w:szCs w:val="24"/>
        </w:rPr>
      </w:pPr>
      <w:r w:rsidRPr="00CA0DE8">
        <w:rPr>
          <w:b/>
          <w:szCs w:val="24"/>
        </w:rPr>
        <w:t xml:space="preserve">2- </w:t>
      </w:r>
      <w:bookmarkStart w:id="0" w:name="_Toc524562210"/>
      <w:r w:rsidR="005E39BB" w:rsidRPr="00CA0DE8">
        <w:rPr>
          <w:b/>
          <w:szCs w:val="24"/>
        </w:rPr>
        <w:t>Modelos y métodos para la identificación y medición del capital intelectual</w:t>
      </w:r>
      <w:bookmarkEnd w:id="0"/>
    </w:p>
    <w:p w14:paraId="3E087AEA" w14:textId="03303F6A" w:rsidR="001320EE" w:rsidRPr="00CA0DE8" w:rsidRDefault="00DB2849" w:rsidP="001320EE">
      <w:pPr>
        <w:spacing w:line="360" w:lineRule="auto"/>
        <w:jc w:val="both"/>
        <w:rPr>
          <w:szCs w:val="24"/>
        </w:rPr>
      </w:pPr>
      <w:r w:rsidRPr="00CA0DE8">
        <w:rPr>
          <w:szCs w:val="24"/>
        </w:rPr>
        <w:t>S</w:t>
      </w:r>
      <w:r w:rsidR="00BE2CF1" w:rsidRPr="00CA0DE8">
        <w:rPr>
          <w:szCs w:val="24"/>
        </w:rPr>
        <w:t>on muchos lo</w:t>
      </w:r>
      <w:r w:rsidR="001320EE" w:rsidRPr="00CA0DE8">
        <w:rPr>
          <w:szCs w:val="24"/>
        </w:rPr>
        <w:t xml:space="preserve">s métodos y modelos </w:t>
      </w:r>
      <w:r w:rsidR="00BE2CF1" w:rsidRPr="00CA0DE8">
        <w:rPr>
          <w:szCs w:val="24"/>
        </w:rPr>
        <w:t>que se han ido diseñando para identificar y medir el CI</w:t>
      </w:r>
      <w:r w:rsidR="009B462F">
        <w:rPr>
          <w:szCs w:val="24"/>
        </w:rPr>
        <w:t xml:space="preserve"> y sus diversos componentes</w:t>
      </w:r>
      <w:r w:rsidR="00BE2CF1" w:rsidRPr="00CA0DE8">
        <w:rPr>
          <w:szCs w:val="24"/>
        </w:rPr>
        <w:t>.</w:t>
      </w:r>
      <w:r w:rsidR="001320EE" w:rsidRPr="00CA0DE8">
        <w:rPr>
          <w:szCs w:val="24"/>
        </w:rPr>
        <w:t xml:space="preserve"> En este sentido, la idea de medición adquiere un sentido amplio, que va más allá de los criterios contables, tal como aclaran Vázquez y </w:t>
      </w:r>
      <w:proofErr w:type="spellStart"/>
      <w:r w:rsidR="001320EE" w:rsidRPr="00CA0DE8">
        <w:rPr>
          <w:szCs w:val="24"/>
        </w:rPr>
        <w:t>Bongianino</w:t>
      </w:r>
      <w:proofErr w:type="spellEnd"/>
      <w:r w:rsidR="001320EE" w:rsidRPr="00CA0DE8">
        <w:rPr>
          <w:szCs w:val="24"/>
        </w:rPr>
        <w:t xml:space="preserve"> (2005), ya que involucra, en muchos casos, mediciones en términos relacionales de aspectos significativos del CI.</w:t>
      </w:r>
    </w:p>
    <w:p w14:paraId="6660307B" w14:textId="30CBD6EA" w:rsidR="001320EE" w:rsidRDefault="001320EE" w:rsidP="001320EE">
      <w:pPr>
        <w:spacing w:line="360" w:lineRule="auto"/>
        <w:jc w:val="both"/>
        <w:rPr>
          <w:szCs w:val="24"/>
        </w:rPr>
      </w:pPr>
      <w:r w:rsidRPr="00CA0DE8">
        <w:rPr>
          <w:szCs w:val="24"/>
        </w:rPr>
        <w:lastRenderedPageBreak/>
        <w:t xml:space="preserve">En este marco, la variedad de propuestas elaboradas es muy amplia e incluye métodos que apuntan a la medición del CI en forma global, o bien de algunos de sus componentes, como así también otros que se enfocan en la medición de los resultados de su gestión, lo que se vincula con los distintos objetivos a los que pretenden dar respuesta, en tanto algunos modelos han sido construidos para ayudar a la gestión de los intangibles a nivel interno de las organizaciones mientras que otros, en cambio, pretenden hacer más accesible la información sobre CI a los </w:t>
      </w:r>
      <w:proofErr w:type="spellStart"/>
      <w:r w:rsidRPr="00CA0DE8">
        <w:rPr>
          <w:i/>
          <w:szCs w:val="24"/>
        </w:rPr>
        <w:t>stakeholders</w:t>
      </w:r>
      <w:proofErr w:type="spellEnd"/>
      <w:r w:rsidRPr="00CA0DE8">
        <w:rPr>
          <w:szCs w:val="24"/>
        </w:rPr>
        <w:t xml:space="preserve"> externos, principalmente a los inversores (Ficco, 2020). </w:t>
      </w:r>
    </w:p>
    <w:p w14:paraId="41C114DA" w14:textId="7B3AA5DC" w:rsidR="001320EE" w:rsidRPr="00CA0DE8" w:rsidRDefault="00885463" w:rsidP="00885463">
      <w:pPr>
        <w:spacing w:line="360" w:lineRule="auto"/>
        <w:jc w:val="both"/>
        <w:rPr>
          <w:szCs w:val="24"/>
        </w:rPr>
      </w:pPr>
      <w:r>
        <w:rPr>
          <w:szCs w:val="24"/>
          <w:lang w:val="es-AR"/>
        </w:rPr>
        <w:t>La variada gama de propuestas existentes se puede clasificar siguiendo el</w:t>
      </w:r>
      <w:r w:rsidR="001320EE" w:rsidRPr="00CA0DE8">
        <w:rPr>
          <w:szCs w:val="24"/>
        </w:rPr>
        <w:t xml:space="preserve"> clásico criterio propuesto por </w:t>
      </w:r>
      <w:proofErr w:type="spellStart"/>
      <w:r w:rsidR="001320EE" w:rsidRPr="00CA0DE8">
        <w:rPr>
          <w:szCs w:val="24"/>
        </w:rPr>
        <w:t>Sveiby</w:t>
      </w:r>
      <w:proofErr w:type="spellEnd"/>
      <w:r w:rsidR="001320EE" w:rsidRPr="00CA0DE8">
        <w:rPr>
          <w:szCs w:val="24"/>
        </w:rPr>
        <w:t xml:space="preserve"> (2010), quien distingue entre los que realizan mediciones en unidades monetarias, también llamados métodos financieros (</w:t>
      </w:r>
      <w:proofErr w:type="spellStart"/>
      <w:r w:rsidR="001320EE" w:rsidRPr="00CA0DE8">
        <w:rPr>
          <w:szCs w:val="24"/>
        </w:rPr>
        <w:t>Andriessen</w:t>
      </w:r>
      <w:proofErr w:type="spellEnd"/>
      <w:r w:rsidR="001320EE" w:rsidRPr="00CA0DE8">
        <w:rPr>
          <w:szCs w:val="24"/>
        </w:rPr>
        <w:t xml:space="preserve">, 2004), de aquellos que son no monetarios. Dentro de los métodos financieros </w:t>
      </w:r>
      <w:proofErr w:type="spellStart"/>
      <w:r w:rsidR="001320EE" w:rsidRPr="00CA0DE8">
        <w:rPr>
          <w:szCs w:val="24"/>
        </w:rPr>
        <w:t>Sveiby</w:t>
      </w:r>
      <w:proofErr w:type="spellEnd"/>
      <w:r w:rsidR="001320EE" w:rsidRPr="00CA0DE8">
        <w:rPr>
          <w:szCs w:val="24"/>
        </w:rPr>
        <w:t xml:space="preserve"> (2010) distingue entre: métodos de capitalización de mercado (MCM), métodos basados en la rentabilidad de los activos (MBRA</w:t>
      </w:r>
      <w:r w:rsidR="001320EE" w:rsidRPr="00CA0DE8">
        <w:rPr>
          <w:rStyle w:val="Refdenotaalpie"/>
          <w:szCs w:val="24"/>
        </w:rPr>
        <w:footnoteReference w:id="1"/>
      </w:r>
      <w:r w:rsidR="001320EE" w:rsidRPr="00CA0DE8">
        <w:rPr>
          <w:szCs w:val="24"/>
        </w:rPr>
        <w:t xml:space="preserve">) y métodos directos (DIC) y, dentro de los no monetarios, incluye a los métodos </w:t>
      </w:r>
      <w:proofErr w:type="spellStart"/>
      <w:r w:rsidR="001320EE" w:rsidRPr="00CA0DE8">
        <w:rPr>
          <w:i/>
          <w:szCs w:val="24"/>
        </w:rPr>
        <w:t>Scorecard</w:t>
      </w:r>
      <w:proofErr w:type="spellEnd"/>
      <w:r w:rsidR="001320EE" w:rsidRPr="00CA0DE8">
        <w:rPr>
          <w:szCs w:val="24"/>
        </w:rPr>
        <w:t xml:space="preserve"> (SC). </w:t>
      </w:r>
      <w:r>
        <w:rPr>
          <w:szCs w:val="24"/>
        </w:rPr>
        <w:t xml:space="preserve">La Tabla 2 </w:t>
      </w:r>
      <w:r w:rsidR="001320EE" w:rsidRPr="00CA0DE8">
        <w:rPr>
          <w:szCs w:val="24"/>
        </w:rPr>
        <w:t>presenta una descripción sucinta de cada una de estas categorías.</w:t>
      </w:r>
    </w:p>
    <w:p w14:paraId="2749CE95" w14:textId="77777777" w:rsidR="001320EE" w:rsidRPr="00CA0DE8" w:rsidRDefault="001320EE" w:rsidP="001320EE">
      <w:pPr>
        <w:jc w:val="center"/>
        <w:rPr>
          <w:b/>
          <w:bCs/>
          <w:szCs w:val="24"/>
          <w:lang w:val="es-ES_tradnl"/>
        </w:rPr>
      </w:pPr>
    </w:p>
    <w:p w14:paraId="5586E65F" w14:textId="0583E0D4" w:rsidR="001320EE" w:rsidRPr="00CA0DE8" w:rsidRDefault="00513C95" w:rsidP="001320EE">
      <w:pPr>
        <w:spacing w:after="60"/>
        <w:jc w:val="center"/>
        <w:rPr>
          <w:b/>
          <w:bCs/>
          <w:szCs w:val="24"/>
          <w:lang w:val="es-ES_tradnl"/>
        </w:rPr>
      </w:pPr>
      <w:r>
        <w:rPr>
          <w:b/>
          <w:bCs/>
          <w:szCs w:val="24"/>
          <w:lang w:val="es-ES_tradnl"/>
        </w:rPr>
        <w:t>Tabla 2</w:t>
      </w:r>
      <w:r w:rsidR="00DD27A0">
        <w:rPr>
          <w:b/>
          <w:bCs/>
          <w:szCs w:val="24"/>
          <w:lang w:val="es-ES_tradnl"/>
        </w:rPr>
        <w:t>.</w:t>
      </w:r>
      <w:r w:rsidR="001320EE" w:rsidRPr="00CA0DE8">
        <w:rPr>
          <w:b/>
          <w:bCs/>
          <w:szCs w:val="24"/>
          <w:lang w:val="es-ES_tradnl"/>
        </w:rPr>
        <w:t xml:space="preserve"> Propuesta de clasificación de los modelos y métodos para la medición del CI</w:t>
      </w:r>
    </w:p>
    <w:tbl>
      <w:tblPr>
        <w:tblStyle w:val="Tablaconcuadrcul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1320EE" w:rsidRPr="00885463" w14:paraId="4B924F5A" w14:textId="77777777" w:rsidTr="00885463">
        <w:trPr>
          <w:jc w:val="center"/>
        </w:trPr>
        <w:tc>
          <w:tcPr>
            <w:tcW w:w="2410" w:type="dxa"/>
            <w:tcBorders>
              <w:top w:val="single" w:sz="4" w:space="0" w:color="auto"/>
              <w:left w:val="nil"/>
              <w:bottom w:val="single" w:sz="4" w:space="0" w:color="auto"/>
              <w:right w:val="nil"/>
            </w:tcBorders>
            <w:shd w:val="clear" w:color="auto" w:fill="D9D9D9" w:themeFill="background1" w:themeFillShade="D9"/>
            <w:vAlign w:val="center"/>
            <w:hideMark/>
          </w:tcPr>
          <w:p w14:paraId="3340A5DA" w14:textId="77777777" w:rsidR="001320EE" w:rsidRPr="00885463" w:rsidRDefault="001320EE" w:rsidP="00D12EC2">
            <w:pPr>
              <w:spacing w:after="120"/>
              <w:jc w:val="center"/>
              <w:rPr>
                <w:sz w:val="22"/>
                <w:szCs w:val="22"/>
              </w:rPr>
            </w:pPr>
            <w:r w:rsidRPr="00885463">
              <w:rPr>
                <w:b/>
                <w:bCs/>
                <w:sz w:val="22"/>
                <w:szCs w:val="22"/>
              </w:rPr>
              <w:t>Métodos financieros</w:t>
            </w:r>
          </w:p>
        </w:tc>
        <w:tc>
          <w:tcPr>
            <w:tcW w:w="6662" w:type="dxa"/>
            <w:tcBorders>
              <w:top w:val="single" w:sz="4" w:space="0" w:color="auto"/>
              <w:left w:val="nil"/>
              <w:bottom w:val="single" w:sz="4" w:space="0" w:color="auto"/>
              <w:right w:val="nil"/>
            </w:tcBorders>
            <w:shd w:val="clear" w:color="auto" w:fill="D9D9D9" w:themeFill="background1" w:themeFillShade="D9"/>
            <w:vAlign w:val="center"/>
            <w:hideMark/>
          </w:tcPr>
          <w:p w14:paraId="52275FC8" w14:textId="77777777" w:rsidR="001320EE" w:rsidRPr="00885463" w:rsidRDefault="001320EE" w:rsidP="00D12EC2">
            <w:pPr>
              <w:spacing w:after="120"/>
              <w:jc w:val="center"/>
              <w:rPr>
                <w:sz w:val="22"/>
                <w:szCs w:val="22"/>
              </w:rPr>
            </w:pPr>
            <w:r w:rsidRPr="00885463">
              <w:rPr>
                <w:sz w:val="22"/>
                <w:szCs w:val="22"/>
              </w:rPr>
              <w:t>medición en unidades monetarias</w:t>
            </w:r>
          </w:p>
        </w:tc>
      </w:tr>
      <w:tr w:rsidR="001320EE" w:rsidRPr="00885463" w14:paraId="000F6E75" w14:textId="77777777" w:rsidTr="00885463">
        <w:trPr>
          <w:jc w:val="center"/>
        </w:trPr>
        <w:tc>
          <w:tcPr>
            <w:tcW w:w="2410" w:type="dxa"/>
            <w:tcBorders>
              <w:top w:val="single" w:sz="4" w:space="0" w:color="auto"/>
              <w:left w:val="nil"/>
              <w:bottom w:val="nil"/>
              <w:right w:val="nil"/>
            </w:tcBorders>
            <w:vAlign w:val="center"/>
            <w:hideMark/>
          </w:tcPr>
          <w:p w14:paraId="46FB056A" w14:textId="77777777" w:rsidR="001320EE" w:rsidRPr="00885463" w:rsidRDefault="001320EE" w:rsidP="00D12EC2">
            <w:pPr>
              <w:spacing w:after="120"/>
              <w:rPr>
                <w:sz w:val="22"/>
                <w:szCs w:val="22"/>
              </w:rPr>
            </w:pPr>
            <w:r w:rsidRPr="00885463">
              <w:rPr>
                <w:sz w:val="22"/>
                <w:szCs w:val="22"/>
              </w:rPr>
              <w:t>Métodos de capitalización de mercado (MCM)</w:t>
            </w:r>
          </w:p>
        </w:tc>
        <w:tc>
          <w:tcPr>
            <w:tcW w:w="6662" w:type="dxa"/>
            <w:tcBorders>
              <w:top w:val="single" w:sz="4" w:space="0" w:color="auto"/>
              <w:left w:val="nil"/>
              <w:bottom w:val="nil"/>
              <w:right w:val="nil"/>
            </w:tcBorders>
            <w:vAlign w:val="center"/>
            <w:hideMark/>
          </w:tcPr>
          <w:p w14:paraId="270B858E" w14:textId="77777777" w:rsidR="001320EE" w:rsidRPr="00885463" w:rsidRDefault="001320EE" w:rsidP="00D12EC2">
            <w:pPr>
              <w:spacing w:after="120"/>
              <w:rPr>
                <w:sz w:val="22"/>
                <w:szCs w:val="22"/>
              </w:rPr>
            </w:pPr>
            <w:r w:rsidRPr="00885463">
              <w:rPr>
                <w:sz w:val="22"/>
                <w:szCs w:val="22"/>
              </w:rPr>
              <w:t>Calculan el valor monetario del CI como diferencia entre la capitalización bursátil de la empresa (cantidad total de acciones en circulación por su precio de cotización) y su patrimonio neto contable.</w:t>
            </w:r>
          </w:p>
        </w:tc>
      </w:tr>
      <w:tr w:rsidR="001320EE" w:rsidRPr="00885463" w14:paraId="24EA12C5" w14:textId="77777777" w:rsidTr="00885463">
        <w:trPr>
          <w:jc w:val="center"/>
        </w:trPr>
        <w:tc>
          <w:tcPr>
            <w:tcW w:w="2410" w:type="dxa"/>
            <w:vAlign w:val="center"/>
            <w:hideMark/>
          </w:tcPr>
          <w:p w14:paraId="6B0D381F" w14:textId="77777777" w:rsidR="001320EE" w:rsidRPr="00885463" w:rsidRDefault="001320EE" w:rsidP="00D12EC2">
            <w:pPr>
              <w:spacing w:after="120"/>
              <w:rPr>
                <w:sz w:val="22"/>
                <w:szCs w:val="22"/>
              </w:rPr>
            </w:pPr>
            <w:r w:rsidRPr="00885463">
              <w:rPr>
                <w:sz w:val="22"/>
                <w:szCs w:val="22"/>
              </w:rPr>
              <w:t>Métodos basados en la rentabilidad de los activos (MBRA)</w:t>
            </w:r>
          </w:p>
        </w:tc>
        <w:tc>
          <w:tcPr>
            <w:tcW w:w="6662" w:type="dxa"/>
            <w:vAlign w:val="center"/>
            <w:hideMark/>
          </w:tcPr>
          <w:p w14:paraId="752EF140" w14:textId="77777777" w:rsidR="001320EE" w:rsidRPr="00885463" w:rsidRDefault="001320EE" w:rsidP="00D12EC2">
            <w:pPr>
              <w:spacing w:after="120"/>
              <w:rPr>
                <w:sz w:val="22"/>
                <w:szCs w:val="22"/>
              </w:rPr>
            </w:pPr>
            <w:r w:rsidRPr="00885463">
              <w:rPr>
                <w:sz w:val="22"/>
                <w:szCs w:val="22"/>
              </w:rPr>
              <w:t>Estiman el valor del CI en base a la rentabilidad de los activos de la empresa, el rendimiento promedio de la industria a la que pertenece y el importe de los activos tangibles.</w:t>
            </w:r>
          </w:p>
        </w:tc>
      </w:tr>
      <w:tr w:rsidR="001320EE" w:rsidRPr="00885463" w14:paraId="5AC30BE7" w14:textId="77777777" w:rsidTr="00885463">
        <w:trPr>
          <w:jc w:val="center"/>
        </w:trPr>
        <w:tc>
          <w:tcPr>
            <w:tcW w:w="2410" w:type="dxa"/>
            <w:tcBorders>
              <w:top w:val="nil"/>
              <w:left w:val="nil"/>
              <w:bottom w:val="single" w:sz="4" w:space="0" w:color="auto"/>
              <w:right w:val="nil"/>
            </w:tcBorders>
            <w:vAlign w:val="center"/>
            <w:hideMark/>
          </w:tcPr>
          <w:p w14:paraId="42DEE669" w14:textId="77777777" w:rsidR="001320EE" w:rsidRPr="00885463" w:rsidRDefault="001320EE" w:rsidP="00D12EC2">
            <w:pPr>
              <w:spacing w:after="120"/>
              <w:rPr>
                <w:sz w:val="22"/>
                <w:szCs w:val="22"/>
              </w:rPr>
            </w:pPr>
            <w:r w:rsidRPr="00885463">
              <w:rPr>
                <w:sz w:val="22"/>
                <w:szCs w:val="22"/>
              </w:rPr>
              <w:t xml:space="preserve">Métodos directos (DIC) </w:t>
            </w:r>
          </w:p>
        </w:tc>
        <w:tc>
          <w:tcPr>
            <w:tcW w:w="6662" w:type="dxa"/>
            <w:tcBorders>
              <w:top w:val="nil"/>
              <w:left w:val="nil"/>
              <w:bottom w:val="single" w:sz="4" w:space="0" w:color="auto"/>
              <w:right w:val="nil"/>
            </w:tcBorders>
            <w:vAlign w:val="center"/>
            <w:hideMark/>
          </w:tcPr>
          <w:p w14:paraId="7C3A119F" w14:textId="77777777" w:rsidR="001320EE" w:rsidRPr="00885463" w:rsidRDefault="001320EE" w:rsidP="00D12EC2">
            <w:pPr>
              <w:spacing w:after="120"/>
              <w:rPr>
                <w:sz w:val="22"/>
                <w:szCs w:val="22"/>
              </w:rPr>
            </w:pPr>
            <w:r w:rsidRPr="00885463">
              <w:rPr>
                <w:sz w:val="22"/>
                <w:szCs w:val="22"/>
              </w:rPr>
              <w:t>Estiman el valor monetario del CI a partir de la identificación y medición de algunos de sus componentes. Normalmente involucran modelos de medición complicados, considerando solo algunos pocos aspectos del CI.</w:t>
            </w:r>
          </w:p>
        </w:tc>
      </w:tr>
      <w:tr w:rsidR="001320EE" w:rsidRPr="00885463" w14:paraId="241E5FEC" w14:textId="77777777" w:rsidTr="00885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10" w:type="dxa"/>
            <w:tcBorders>
              <w:top w:val="single" w:sz="4" w:space="0" w:color="auto"/>
              <w:left w:val="nil"/>
              <w:bottom w:val="single" w:sz="4" w:space="0" w:color="auto"/>
              <w:right w:val="nil"/>
            </w:tcBorders>
            <w:shd w:val="clear" w:color="auto" w:fill="D9D9D9" w:themeFill="background1" w:themeFillShade="D9"/>
            <w:hideMark/>
          </w:tcPr>
          <w:p w14:paraId="07AC8299" w14:textId="77777777" w:rsidR="001320EE" w:rsidRPr="00885463" w:rsidRDefault="001320EE" w:rsidP="00D12EC2">
            <w:pPr>
              <w:spacing w:after="120"/>
              <w:jc w:val="center"/>
              <w:rPr>
                <w:sz w:val="22"/>
                <w:szCs w:val="22"/>
              </w:rPr>
            </w:pPr>
            <w:r w:rsidRPr="00885463">
              <w:rPr>
                <w:b/>
                <w:bCs/>
                <w:sz w:val="22"/>
                <w:szCs w:val="22"/>
              </w:rPr>
              <w:t>Métodos no financieros</w:t>
            </w:r>
          </w:p>
        </w:tc>
        <w:tc>
          <w:tcPr>
            <w:tcW w:w="6662" w:type="dxa"/>
            <w:tcBorders>
              <w:top w:val="single" w:sz="4" w:space="0" w:color="auto"/>
              <w:left w:val="nil"/>
              <w:bottom w:val="single" w:sz="4" w:space="0" w:color="auto"/>
              <w:right w:val="nil"/>
            </w:tcBorders>
            <w:shd w:val="clear" w:color="auto" w:fill="D9D9D9" w:themeFill="background1" w:themeFillShade="D9"/>
            <w:hideMark/>
          </w:tcPr>
          <w:p w14:paraId="001AEDB8" w14:textId="77777777" w:rsidR="001320EE" w:rsidRPr="00885463" w:rsidRDefault="001320EE" w:rsidP="00D12EC2">
            <w:pPr>
              <w:spacing w:after="120"/>
              <w:jc w:val="center"/>
              <w:rPr>
                <w:sz w:val="22"/>
                <w:szCs w:val="22"/>
              </w:rPr>
            </w:pPr>
            <w:r w:rsidRPr="00885463">
              <w:rPr>
                <w:sz w:val="22"/>
                <w:szCs w:val="22"/>
              </w:rPr>
              <w:t>medición en unidades no monetarias</w:t>
            </w:r>
          </w:p>
        </w:tc>
      </w:tr>
      <w:tr w:rsidR="001320EE" w:rsidRPr="00885463" w14:paraId="0290449B" w14:textId="77777777" w:rsidTr="00885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10" w:type="dxa"/>
            <w:tcBorders>
              <w:top w:val="single" w:sz="4" w:space="0" w:color="auto"/>
              <w:left w:val="nil"/>
              <w:bottom w:val="single" w:sz="4" w:space="0" w:color="auto"/>
              <w:right w:val="nil"/>
            </w:tcBorders>
            <w:hideMark/>
          </w:tcPr>
          <w:p w14:paraId="3C529D6E" w14:textId="77777777" w:rsidR="001320EE" w:rsidRPr="00885463" w:rsidRDefault="001320EE" w:rsidP="00D12EC2">
            <w:pPr>
              <w:spacing w:after="60"/>
              <w:rPr>
                <w:sz w:val="22"/>
                <w:szCs w:val="22"/>
              </w:rPr>
            </w:pPr>
            <w:r w:rsidRPr="00885463">
              <w:rPr>
                <w:sz w:val="22"/>
                <w:szCs w:val="22"/>
              </w:rPr>
              <w:t xml:space="preserve">Métodos </w:t>
            </w:r>
            <w:proofErr w:type="spellStart"/>
            <w:r w:rsidRPr="00885463">
              <w:rPr>
                <w:i/>
                <w:iCs/>
                <w:sz w:val="22"/>
                <w:szCs w:val="22"/>
              </w:rPr>
              <w:t>Scorecard</w:t>
            </w:r>
            <w:proofErr w:type="spellEnd"/>
            <w:r w:rsidRPr="00885463">
              <w:rPr>
                <w:sz w:val="22"/>
                <w:szCs w:val="22"/>
              </w:rPr>
              <w:t xml:space="preserve"> (SC)</w:t>
            </w:r>
          </w:p>
          <w:p w14:paraId="486E4BC5" w14:textId="77777777" w:rsidR="001320EE" w:rsidRPr="00885463" w:rsidRDefault="001320EE" w:rsidP="00D12EC2">
            <w:pPr>
              <w:spacing w:after="60"/>
              <w:rPr>
                <w:sz w:val="22"/>
                <w:szCs w:val="22"/>
              </w:rPr>
            </w:pPr>
            <w:r w:rsidRPr="00885463">
              <w:rPr>
                <w:sz w:val="22"/>
                <w:szCs w:val="22"/>
              </w:rPr>
              <w:t>(basados en indicadores)</w:t>
            </w:r>
          </w:p>
        </w:tc>
        <w:tc>
          <w:tcPr>
            <w:tcW w:w="6662" w:type="dxa"/>
            <w:tcBorders>
              <w:top w:val="single" w:sz="4" w:space="0" w:color="auto"/>
              <w:left w:val="nil"/>
              <w:bottom w:val="single" w:sz="4" w:space="0" w:color="auto"/>
              <w:right w:val="nil"/>
            </w:tcBorders>
            <w:hideMark/>
          </w:tcPr>
          <w:p w14:paraId="4A5D90FE" w14:textId="77777777" w:rsidR="001320EE" w:rsidRPr="00885463" w:rsidRDefault="001320EE" w:rsidP="00D12EC2">
            <w:pPr>
              <w:spacing w:after="120"/>
              <w:rPr>
                <w:sz w:val="22"/>
                <w:szCs w:val="22"/>
              </w:rPr>
            </w:pPr>
            <w:r w:rsidRPr="00885463">
              <w:rPr>
                <w:sz w:val="22"/>
                <w:szCs w:val="22"/>
              </w:rPr>
              <w:t>Trabajan a partir de la identificación de los componentes del CI, pero sin realizar mediciones en términos monetarios. Proveen indicadores.</w:t>
            </w:r>
          </w:p>
        </w:tc>
      </w:tr>
    </w:tbl>
    <w:p w14:paraId="73A4AA19" w14:textId="710BFA0A" w:rsidR="001320EE" w:rsidRDefault="001320EE" w:rsidP="001320EE">
      <w:pPr>
        <w:spacing w:before="60"/>
        <w:jc w:val="right"/>
        <w:rPr>
          <w:szCs w:val="24"/>
        </w:rPr>
      </w:pPr>
      <w:r w:rsidRPr="00CA0DE8">
        <w:rPr>
          <w:szCs w:val="24"/>
        </w:rPr>
        <w:t xml:space="preserve">Fuente: Ficco </w:t>
      </w:r>
      <w:r w:rsidR="00DD27A0">
        <w:rPr>
          <w:szCs w:val="24"/>
        </w:rPr>
        <w:t>(</w:t>
      </w:r>
      <w:r w:rsidRPr="00CA0DE8">
        <w:rPr>
          <w:szCs w:val="24"/>
        </w:rPr>
        <w:t>2020</w:t>
      </w:r>
      <w:r w:rsidR="00DD27A0">
        <w:rPr>
          <w:szCs w:val="24"/>
        </w:rPr>
        <w:t>)</w:t>
      </w:r>
    </w:p>
    <w:p w14:paraId="2FB90E61" w14:textId="00DF19E5" w:rsidR="00885463" w:rsidRDefault="00885463" w:rsidP="001320EE">
      <w:pPr>
        <w:spacing w:before="60"/>
        <w:jc w:val="right"/>
        <w:rPr>
          <w:szCs w:val="24"/>
        </w:rPr>
      </w:pPr>
    </w:p>
    <w:p w14:paraId="72A0977E" w14:textId="2C4072F1" w:rsidR="00885463" w:rsidRDefault="002D5901" w:rsidP="00472CE4">
      <w:pPr>
        <w:spacing w:line="360" w:lineRule="auto"/>
        <w:jc w:val="both"/>
        <w:rPr>
          <w:szCs w:val="24"/>
        </w:rPr>
      </w:pPr>
      <w:r w:rsidRPr="00472CE4">
        <w:rPr>
          <w:szCs w:val="24"/>
        </w:rPr>
        <w:t xml:space="preserve">Dentro de cada una de las categorías antes mencionadas las propuestas elaboradas son diversas. No obstante, en la Tabla 3 mostramos los métodos que han </w:t>
      </w:r>
      <w:r w:rsidR="00885463" w:rsidRPr="00472CE4">
        <w:rPr>
          <w:szCs w:val="24"/>
        </w:rPr>
        <w:t>tenido mayor difusión, considerando principalmente a aquellos que han sido pioneros en la temática, a los efectos de dejar plasmadas las principales alternativas disponibles para lograr la identificación y medición del CI.</w:t>
      </w:r>
    </w:p>
    <w:p w14:paraId="159C65CC" w14:textId="09CB814A" w:rsidR="00760DAE" w:rsidRPr="001169B0" w:rsidRDefault="00B8592D" w:rsidP="00B8592D">
      <w:pPr>
        <w:spacing w:after="60"/>
        <w:jc w:val="center"/>
        <w:rPr>
          <w:b/>
          <w:bCs/>
          <w:szCs w:val="24"/>
          <w:lang w:val="es-ES_tradnl"/>
        </w:rPr>
      </w:pPr>
      <w:r w:rsidRPr="001169B0">
        <w:rPr>
          <w:b/>
          <w:bCs/>
          <w:szCs w:val="24"/>
          <w:lang w:val="es-ES_tradnl"/>
        </w:rPr>
        <w:lastRenderedPageBreak/>
        <w:t>Tabla 3</w:t>
      </w:r>
      <w:r w:rsidR="00DD27A0">
        <w:rPr>
          <w:b/>
          <w:bCs/>
          <w:szCs w:val="24"/>
          <w:lang w:val="es-ES_tradnl"/>
        </w:rPr>
        <w:t>.</w:t>
      </w:r>
      <w:r w:rsidRPr="001169B0">
        <w:rPr>
          <w:b/>
          <w:bCs/>
          <w:szCs w:val="24"/>
          <w:lang w:val="es-ES_tradnl"/>
        </w:rPr>
        <w:t xml:space="preserve"> </w:t>
      </w:r>
      <w:r w:rsidRPr="001169B0">
        <w:rPr>
          <w:b/>
          <w:bCs/>
          <w:lang w:val="es-ES_tradnl"/>
        </w:rPr>
        <w:t>Modelos y métodos DIC, MCM, MBRA y SC</w:t>
      </w:r>
    </w:p>
    <w:tbl>
      <w:tblPr>
        <w:tblW w:w="8784" w:type="dxa"/>
        <w:tblLayout w:type="fixed"/>
        <w:tblCellMar>
          <w:left w:w="0" w:type="dxa"/>
          <w:right w:w="0" w:type="dxa"/>
        </w:tblCellMar>
        <w:tblLook w:val="04A0" w:firstRow="1" w:lastRow="0" w:firstColumn="1" w:lastColumn="0" w:noHBand="0" w:noVBand="1"/>
      </w:tblPr>
      <w:tblGrid>
        <w:gridCol w:w="2405"/>
        <w:gridCol w:w="2126"/>
        <w:gridCol w:w="2127"/>
        <w:gridCol w:w="2126"/>
      </w:tblGrid>
      <w:tr w:rsidR="001169B0" w:rsidRPr="001169B0" w14:paraId="13774FF6" w14:textId="77777777" w:rsidTr="001169B0">
        <w:trPr>
          <w:trHeight w:val="632"/>
        </w:trPr>
        <w:tc>
          <w:tcPr>
            <w:tcW w:w="2405" w:type="dxa"/>
            <w:tcBorders>
              <w:top w:val="single" w:sz="4" w:space="0" w:color="auto"/>
              <w:bottom w:val="single" w:sz="4" w:space="0" w:color="auto"/>
              <w:right w:val="nil"/>
            </w:tcBorders>
            <w:shd w:val="clear" w:color="auto" w:fill="D9D9D9" w:themeFill="background1" w:themeFillShade="D9"/>
            <w:tcMar>
              <w:top w:w="15" w:type="dxa"/>
              <w:left w:w="100" w:type="dxa"/>
              <w:bottom w:w="0" w:type="dxa"/>
              <w:right w:w="100" w:type="dxa"/>
            </w:tcMar>
            <w:hideMark/>
          </w:tcPr>
          <w:p w14:paraId="24BDD5CA" w14:textId="77777777" w:rsidR="00760DAE" w:rsidRPr="001169B0" w:rsidRDefault="00760DAE" w:rsidP="001169B0">
            <w:pPr>
              <w:jc w:val="center"/>
              <w:rPr>
                <w:sz w:val="22"/>
                <w:szCs w:val="22"/>
              </w:rPr>
            </w:pPr>
            <w:r w:rsidRPr="001169B0">
              <w:rPr>
                <w:b/>
                <w:bCs/>
                <w:sz w:val="22"/>
                <w:szCs w:val="22"/>
              </w:rPr>
              <w:t>Modelos</w:t>
            </w:r>
            <w:r w:rsidRPr="001169B0">
              <w:rPr>
                <w:b/>
                <w:bCs/>
                <w:sz w:val="22"/>
                <w:szCs w:val="22"/>
                <w:lang w:val="en-US"/>
              </w:rPr>
              <w:t xml:space="preserve"> y </w:t>
            </w:r>
            <w:proofErr w:type="spellStart"/>
            <w:r w:rsidRPr="001169B0">
              <w:rPr>
                <w:b/>
                <w:bCs/>
                <w:sz w:val="22"/>
                <w:szCs w:val="22"/>
                <w:lang w:val="en-US"/>
              </w:rPr>
              <w:t>Métodos</w:t>
            </w:r>
            <w:proofErr w:type="spellEnd"/>
            <w:r w:rsidRPr="001169B0">
              <w:rPr>
                <w:b/>
                <w:bCs/>
                <w:sz w:val="22"/>
                <w:szCs w:val="22"/>
                <w:lang w:val="en-US"/>
              </w:rPr>
              <w:t xml:space="preserve"> DIC</w:t>
            </w:r>
          </w:p>
        </w:tc>
        <w:tc>
          <w:tcPr>
            <w:tcW w:w="2126" w:type="dxa"/>
            <w:tcBorders>
              <w:top w:val="single" w:sz="4" w:space="0" w:color="auto"/>
              <w:left w:val="nil"/>
              <w:bottom w:val="single" w:sz="4" w:space="0" w:color="auto"/>
              <w:right w:val="nil"/>
            </w:tcBorders>
            <w:shd w:val="clear" w:color="auto" w:fill="D9D9D9" w:themeFill="background1" w:themeFillShade="D9"/>
            <w:tcMar>
              <w:top w:w="15" w:type="dxa"/>
              <w:left w:w="100" w:type="dxa"/>
              <w:bottom w:w="0" w:type="dxa"/>
              <w:right w:w="100" w:type="dxa"/>
            </w:tcMar>
            <w:hideMark/>
          </w:tcPr>
          <w:p w14:paraId="21BF60E7" w14:textId="77777777" w:rsidR="00760DAE" w:rsidRPr="001169B0" w:rsidRDefault="00760DAE" w:rsidP="001169B0">
            <w:pPr>
              <w:jc w:val="center"/>
              <w:rPr>
                <w:sz w:val="22"/>
                <w:szCs w:val="22"/>
              </w:rPr>
            </w:pPr>
            <w:r w:rsidRPr="001169B0">
              <w:rPr>
                <w:b/>
                <w:bCs/>
                <w:sz w:val="22"/>
                <w:szCs w:val="22"/>
              </w:rPr>
              <w:t>Modelos</w:t>
            </w:r>
            <w:r w:rsidRPr="001169B0">
              <w:rPr>
                <w:b/>
                <w:bCs/>
                <w:sz w:val="22"/>
                <w:szCs w:val="22"/>
                <w:lang w:val="en-US"/>
              </w:rPr>
              <w:t xml:space="preserve"> y </w:t>
            </w:r>
            <w:proofErr w:type="spellStart"/>
            <w:r w:rsidRPr="001169B0">
              <w:rPr>
                <w:b/>
                <w:bCs/>
                <w:sz w:val="22"/>
                <w:szCs w:val="22"/>
                <w:lang w:val="en-US"/>
              </w:rPr>
              <w:t>Métodos</w:t>
            </w:r>
            <w:proofErr w:type="spellEnd"/>
            <w:r w:rsidRPr="001169B0">
              <w:rPr>
                <w:b/>
                <w:bCs/>
                <w:sz w:val="22"/>
                <w:szCs w:val="22"/>
                <w:lang w:val="en-US"/>
              </w:rPr>
              <w:t xml:space="preserve"> MCM</w:t>
            </w:r>
          </w:p>
        </w:tc>
        <w:tc>
          <w:tcPr>
            <w:tcW w:w="2127" w:type="dxa"/>
            <w:tcBorders>
              <w:top w:val="single" w:sz="4" w:space="0" w:color="auto"/>
              <w:left w:val="nil"/>
              <w:bottom w:val="single" w:sz="4" w:space="0" w:color="auto"/>
            </w:tcBorders>
            <w:shd w:val="clear" w:color="auto" w:fill="D9D9D9" w:themeFill="background1" w:themeFillShade="D9"/>
            <w:tcMar>
              <w:top w:w="15" w:type="dxa"/>
              <w:left w:w="100" w:type="dxa"/>
              <w:bottom w:w="0" w:type="dxa"/>
              <w:right w:w="100" w:type="dxa"/>
            </w:tcMar>
            <w:hideMark/>
          </w:tcPr>
          <w:p w14:paraId="45F55270" w14:textId="77777777" w:rsidR="00760DAE" w:rsidRPr="001169B0" w:rsidRDefault="00760DAE" w:rsidP="001169B0">
            <w:pPr>
              <w:jc w:val="center"/>
              <w:rPr>
                <w:sz w:val="22"/>
                <w:szCs w:val="22"/>
              </w:rPr>
            </w:pPr>
            <w:r w:rsidRPr="001169B0">
              <w:rPr>
                <w:b/>
                <w:bCs/>
                <w:sz w:val="22"/>
                <w:szCs w:val="22"/>
              </w:rPr>
              <w:t>Modelos</w:t>
            </w:r>
            <w:r w:rsidRPr="001169B0">
              <w:rPr>
                <w:b/>
                <w:bCs/>
                <w:sz w:val="22"/>
                <w:szCs w:val="22"/>
                <w:lang w:val="en-US"/>
              </w:rPr>
              <w:t xml:space="preserve"> y </w:t>
            </w:r>
            <w:proofErr w:type="spellStart"/>
            <w:r w:rsidRPr="001169B0">
              <w:rPr>
                <w:b/>
                <w:bCs/>
                <w:sz w:val="22"/>
                <w:szCs w:val="22"/>
                <w:lang w:val="en-US"/>
              </w:rPr>
              <w:t>Métodos</w:t>
            </w:r>
            <w:proofErr w:type="spellEnd"/>
            <w:r w:rsidRPr="001169B0">
              <w:rPr>
                <w:b/>
                <w:bCs/>
                <w:sz w:val="22"/>
                <w:szCs w:val="22"/>
                <w:lang w:val="en-US"/>
              </w:rPr>
              <w:t xml:space="preserve"> MBRA</w:t>
            </w:r>
          </w:p>
        </w:tc>
        <w:tc>
          <w:tcPr>
            <w:tcW w:w="2126" w:type="dxa"/>
            <w:tcBorders>
              <w:top w:val="single" w:sz="4" w:space="0" w:color="auto"/>
              <w:bottom w:val="single" w:sz="4" w:space="0" w:color="auto"/>
            </w:tcBorders>
            <w:shd w:val="clear" w:color="auto" w:fill="D9D9D9" w:themeFill="background1" w:themeFillShade="D9"/>
          </w:tcPr>
          <w:p w14:paraId="6F686854" w14:textId="77777777" w:rsidR="00760DAE" w:rsidRPr="001169B0" w:rsidRDefault="00760DAE" w:rsidP="001169B0">
            <w:pPr>
              <w:jc w:val="center"/>
              <w:rPr>
                <w:sz w:val="22"/>
                <w:szCs w:val="22"/>
                <w:lang w:val="es-AR"/>
              </w:rPr>
            </w:pPr>
            <w:r w:rsidRPr="001169B0">
              <w:rPr>
                <w:b/>
                <w:bCs/>
                <w:sz w:val="22"/>
                <w:szCs w:val="22"/>
              </w:rPr>
              <w:t>Modelos</w:t>
            </w:r>
            <w:r w:rsidRPr="001169B0">
              <w:rPr>
                <w:b/>
                <w:bCs/>
                <w:sz w:val="22"/>
                <w:szCs w:val="22"/>
                <w:lang w:val="en-US"/>
              </w:rPr>
              <w:t xml:space="preserve"> y </w:t>
            </w:r>
            <w:proofErr w:type="spellStart"/>
            <w:r w:rsidRPr="001169B0">
              <w:rPr>
                <w:b/>
                <w:bCs/>
                <w:sz w:val="22"/>
                <w:szCs w:val="22"/>
                <w:lang w:val="en-US"/>
              </w:rPr>
              <w:t>Métodos</w:t>
            </w:r>
            <w:proofErr w:type="spellEnd"/>
            <w:r w:rsidRPr="001169B0">
              <w:rPr>
                <w:b/>
                <w:bCs/>
                <w:sz w:val="22"/>
                <w:szCs w:val="22"/>
                <w:lang w:val="en-US"/>
              </w:rPr>
              <w:t xml:space="preserve"> SC</w:t>
            </w:r>
          </w:p>
        </w:tc>
      </w:tr>
      <w:tr w:rsidR="00760DAE" w:rsidRPr="001169B0" w14:paraId="2DB5008E" w14:textId="77777777" w:rsidTr="00B8592D">
        <w:trPr>
          <w:trHeight w:val="1264"/>
        </w:trPr>
        <w:tc>
          <w:tcPr>
            <w:tcW w:w="2405" w:type="dxa"/>
            <w:tcBorders>
              <w:top w:val="single" w:sz="4" w:space="0" w:color="auto"/>
              <w:bottom w:val="nil"/>
              <w:right w:val="nil"/>
            </w:tcBorders>
            <w:shd w:val="clear" w:color="auto" w:fill="FFFFFF" w:themeFill="background1"/>
            <w:tcMar>
              <w:top w:w="15" w:type="dxa"/>
              <w:left w:w="100" w:type="dxa"/>
              <w:bottom w:w="0" w:type="dxa"/>
              <w:right w:w="100" w:type="dxa"/>
            </w:tcMar>
            <w:hideMark/>
          </w:tcPr>
          <w:p w14:paraId="63434424" w14:textId="77777777" w:rsidR="00760DAE" w:rsidRPr="001169B0" w:rsidRDefault="00760DAE" w:rsidP="001169B0">
            <w:pPr>
              <w:rPr>
                <w:b/>
                <w:sz w:val="22"/>
                <w:szCs w:val="22"/>
              </w:rPr>
            </w:pPr>
            <w:r w:rsidRPr="001169B0">
              <w:rPr>
                <w:b/>
                <w:sz w:val="22"/>
                <w:szCs w:val="22"/>
              </w:rPr>
              <w:t xml:space="preserve">Costos y Contabilidad de </w:t>
            </w:r>
            <w:proofErr w:type="gramStart"/>
            <w:r w:rsidRPr="001169B0">
              <w:rPr>
                <w:b/>
                <w:sz w:val="22"/>
                <w:szCs w:val="22"/>
              </w:rPr>
              <w:t>RR.HH</w:t>
            </w:r>
            <w:proofErr w:type="gramEnd"/>
          </w:p>
          <w:p w14:paraId="269A06A0" w14:textId="77777777" w:rsidR="00760DAE" w:rsidRPr="001169B0" w:rsidRDefault="00760DAE" w:rsidP="001169B0">
            <w:pPr>
              <w:rPr>
                <w:sz w:val="22"/>
                <w:szCs w:val="22"/>
              </w:rPr>
            </w:pPr>
            <w:r w:rsidRPr="001169B0">
              <w:rPr>
                <w:sz w:val="22"/>
                <w:szCs w:val="22"/>
                <w:lang w:val="es-AR"/>
              </w:rPr>
              <w:t xml:space="preserve">   </w:t>
            </w:r>
            <w:r w:rsidRPr="001169B0">
              <w:rPr>
                <w:sz w:val="22"/>
                <w:szCs w:val="22"/>
              </w:rPr>
              <w:t>(</w:t>
            </w:r>
            <w:proofErr w:type="spellStart"/>
            <w:r w:rsidRPr="001169B0">
              <w:rPr>
                <w:sz w:val="22"/>
                <w:szCs w:val="22"/>
                <w:lang w:val="en-US"/>
              </w:rPr>
              <w:t>Flamholtz</w:t>
            </w:r>
            <w:proofErr w:type="spellEnd"/>
            <w:r w:rsidRPr="001169B0">
              <w:rPr>
                <w:sz w:val="22"/>
                <w:szCs w:val="22"/>
                <w:lang w:val="en-US"/>
              </w:rPr>
              <w:t xml:space="preserve">, 1985; </w:t>
            </w:r>
            <w:proofErr w:type="spellStart"/>
            <w:r w:rsidRPr="001169B0">
              <w:rPr>
                <w:sz w:val="22"/>
                <w:szCs w:val="22"/>
              </w:rPr>
              <w:t>Gröjer</w:t>
            </w:r>
            <w:proofErr w:type="spellEnd"/>
            <w:r w:rsidRPr="001169B0">
              <w:rPr>
                <w:sz w:val="22"/>
                <w:szCs w:val="22"/>
              </w:rPr>
              <w:t xml:space="preserve"> y Johanson, 1996)</w:t>
            </w:r>
          </w:p>
        </w:tc>
        <w:tc>
          <w:tcPr>
            <w:tcW w:w="2126" w:type="dxa"/>
            <w:tcBorders>
              <w:top w:val="single" w:sz="4" w:space="0" w:color="auto"/>
              <w:left w:val="nil"/>
              <w:bottom w:val="nil"/>
              <w:right w:val="nil"/>
            </w:tcBorders>
            <w:shd w:val="clear" w:color="auto" w:fill="FFFFFF" w:themeFill="background1"/>
            <w:tcMar>
              <w:top w:w="15" w:type="dxa"/>
              <w:left w:w="100" w:type="dxa"/>
              <w:bottom w:w="0" w:type="dxa"/>
              <w:right w:w="100" w:type="dxa"/>
            </w:tcMar>
            <w:hideMark/>
          </w:tcPr>
          <w:p w14:paraId="7DFCF107" w14:textId="77777777" w:rsidR="00760DAE" w:rsidRPr="001169B0" w:rsidRDefault="00760DAE" w:rsidP="001169B0">
            <w:pPr>
              <w:rPr>
                <w:b/>
                <w:sz w:val="22"/>
                <w:szCs w:val="22"/>
              </w:rPr>
            </w:pPr>
            <w:r w:rsidRPr="001169B0">
              <w:rPr>
                <w:b/>
                <w:sz w:val="22"/>
                <w:szCs w:val="22"/>
                <w:lang w:val="en-US"/>
              </w:rPr>
              <w:t>Ratio “q” de Tobin</w:t>
            </w:r>
          </w:p>
          <w:p w14:paraId="6BB78FA1" w14:textId="77777777" w:rsidR="00760DAE" w:rsidRPr="001169B0" w:rsidRDefault="00760DAE" w:rsidP="001169B0">
            <w:pPr>
              <w:rPr>
                <w:sz w:val="22"/>
                <w:szCs w:val="22"/>
              </w:rPr>
            </w:pPr>
            <w:r w:rsidRPr="001169B0">
              <w:rPr>
                <w:sz w:val="22"/>
                <w:szCs w:val="22"/>
                <w:lang w:val="en-US"/>
              </w:rPr>
              <w:t xml:space="preserve">   (Tobin, 1950´s)</w:t>
            </w:r>
          </w:p>
        </w:tc>
        <w:tc>
          <w:tcPr>
            <w:tcW w:w="2127" w:type="dxa"/>
            <w:tcBorders>
              <w:top w:val="single" w:sz="4" w:space="0" w:color="auto"/>
              <w:left w:val="nil"/>
              <w:bottom w:val="nil"/>
              <w:right w:val="nil"/>
            </w:tcBorders>
            <w:shd w:val="clear" w:color="auto" w:fill="FFFFFF" w:themeFill="background1"/>
            <w:tcMar>
              <w:top w:w="15" w:type="dxa"/>
              <w:left w:w="100" w:type="dxa"/>
              <w:bottom w:w="0" w:type="dxa"/>
              <w:right w:w="100" w:type="dxa"/>
            </w:tcMar>
            <w:hideMark/>
          </w:tcPr>
          <w:p w14:paraId="7C0DF784" w14:textId="77777777" w:rsidR="00760DAE" w:rsidRPr="001169B0" w:rsidRDefault="00760DAE" w:rsidP="001169B0">
            <w:pPr>
              <w:rPr>
                <w:b/>
                <w:sz w:val="22"/>
                <w:szCs w:val="22"/>
              </w:rPr>
            </w:pPr>
            <w:r w:rsidRPr="001169B0">
              <w:rPr>
                <w:b/>
                <w:sz w:val="22"/>
                <w:szCs w:val="22"/>
              </w:rPr>
              <w:t>Valor económico agregado (EVA)</w:t>
            </w:r>
          </w:p>
          <w:p w14:paraId="3EDD6FAD" w14:textId="77777777" w:rsidR="00760DAE" w:rsidRPr="001169B0" w:rsidRDefault="00760DAE" w:rsidP="001169B0">
            <w:pPr>
              <w:rPr>
                <w:sz w:val="22"/>
                <w:szCs w:val="22"/>
              </w:rPr>
            </w:pPr>
            <w:r w:rsidRPr="001169B0">
              <w:rPr>
                <w:sz w:val="22"/>
                <w:szCs w:val="22"/>
              </w:rPr>
              <w:t xml:space="preserve">    (Stern Stewart y Co., 1989)</w:t>
            </w:r>
          </w:p>
        </w:tc>
        <w:tc>
          <w:tcPr>
            <w:tcW w:w="2126" w:type="dxa"/>
            <w:tcBorders>
              <w:top w:val="single" w:sz="4" w:space="0" w:color="auto"/>
              <w:left w:val="nil"/>
              <w:bottom w:val="nil"/>
            </w:tcBorders>
            <w:shd w:val="clear" w:color="auto" w:fill="FFFFFF" w:themeFill="background1"/>
          </w:tcPr>
          <w:p w14:paraId="501208E7" w14:textId="77777777" w:rsidR="00760DAE" w:rsidRPr="001169B0" w:rsidRDefault="00760DAE" w:rsidP="001169B0">
            <w:pPr>
              <w:rPr>
                <w:sz w:val="22"/>
                <w:szCs w:val="22"/>
                <w:lang w:val="es-AR"/>
              </w:rPr>
            </w:pPr>
            <w:r w:rsidRPr="001169B0">
              <w:rPr>
                <w:b/>
                <w:bCs/>
                <w:sz w:val="22"/>
                <w:szCs w:val="22"/>
                <w:lang w:val="es-AR"/>
              </w:rPr>
              <w:t>Cuadro de Mando Integral</w:t>
            </w:r>
          </w:p>
          <w:p w14:paraId="5EEC6394" w14:textId="77777777" w:rsidR="00760DAE" w:rsidRPr="001169B0" w:rsidRDefault="00760DAE" w:rsidP="001169B0">
            <w:pPr>
              <w:rPr>
                <w:sz w:val="22"/>
                <w:szCs w:val="22"/>
                <w:lang w:val="es-AR"/>
              </w:rPr>
            </w:pPr>
            <w:r w:rsidRPr="001169B0">
              <w:rPr>
                <w:b/>
                <w:bCs/>
                <w:sz w:val="22"/>
                <w:szCs w:val="22"/>
                <w:lang w:val="es-AR"/>
              </w:rPr>
              <w:t xml:space="preserve">    </w:t>
            </w:r>
            <w:r w:rsidRPr="001169B0">
              <w:rPr>
                <w:sz w:val="22"/>
                <w:szCs w:val="22"/>
                <w:lang w:val="es-AR"/>
              </w:rPr>
              <w:t>(Kaplan y Norton, 1992)</w:t>
            </w:r>
          </w:p>
        </w:tc>
      </w:tr>
      <w:tr w:rsidR="00760DAE" w:rsidRPr="001169B0" w14:paraId="02EC3277" w14:textId="77777777" w:rsidTr="00B8592D">
        <w:trPr>
          <w:trHeight w:val="948"/>
        </w:trPr>
        <w:tc>
          <w:tcPr>
            <w:tcW w:w="2405" w:type="dxa"/>
            <w:tcBorders>
              <w:top w:val="nil"/>
              <w:bottom w:val="nil"/>
              <w:right w:val="nil"/>
            </w:tcBorders>
            <w:shd w:val="clear" w:color="auto" w:fill="FFFFFF" w:themeFill="background1"/>
            <w:tcMar>
              <w:top w:w="15" w:type="dxa"/>
              <w:left w:w="100" w:type="dxa"/>
              <w:bottom w:w="0" w:type="dxa"/>
              <w:right w:w="100" w:type="dxa"/>
            </w:tcMar>
            <w:hideMark/>
          </w:tcPr>
          <w:p w14:paraId="13E30E9F" w14:textId="77777777" w:rsidR="00760DAE" w:rsidRPr="001169B0" w:rsidRDefault="00760DAE" w:rsidP="001169B0">
            <w:pPr>
              <w:rPr>
                <w:b/>
                <w:sz w:val="22"/>
                <w:szCs w:val="22"/>
              </w:rPr>
            </w:pPr>
            <w:proofErr w:type="spellStart"/>
            <w:r w:rsidRPr="001169B0">
              <w:rPr>
                <w:b/>
                <w:sz w:val="22"/>
                <w:szCs w:val="22"/>
              </w:rPr>
              <w:t>Techonology</w:t>
            </w:r>
            <w:proofErr w:type="spellEnd"/>
            <w:r w:rsidRPr="001169B0">
              <w:rPr>
                <w:b/>
                <w:sz w:val="22"/>
                <w:szCs w:val="22"/>
              </w:rPr>
              <w:t xml:space="preserve"> </w:t>
            </w:r>
            <w:proofErr w:type="spellStart"/>
            <w:r w:rsidRPr="001169B0">
              <w:rPr>
                <w:b/>
                <w:sz w:val="22"/>
                <w:szCs w:val="22"/>
              </w:rPr>
              <w:t>Broker</w:t>
            </w:r>
            <w:proofErr w:type="spellEnd"/>
          </w:p>
          <w:p w14:paraId="08B4A4BC" w14:textId="77777777" w:rsidR="00760DAE" w:rsidRPr="001169B0" w:rsidRDefault="00760DAE" w:rsidP="001169B0">
            <w:pPr>
              <w:rPr>
                <w:sz w:val="22"/>
                <w:szCs w:val="22"/>
              </w:rPr>
            </w:pPr>
            <w:r w:rsidRPr="001169B0">
              <w:rPr>
                <w:sz w:val="22"/>
                <w:szCs w:val="22"/>
              </w:rPr>
              <w:t xml:space="preserve">   (</w:t>
            </w:r>
            <w:proofErr w:type="spellStart"/>
            <w:r w:rsidRPr="001169B0">
              <w:rPr>
                <w:sz w:val="22"/>
                <w:szCs w:val="22"/>
              </w:rPr>
              <w:t>Brooking</w:t>
            </w:r>
            <w:proofErr w:type="spellEnd"/>
            <w:r w:rsidRPr="001169B0">
              <w:rPr>
                <w:sz w:val="22"/>
                <w:szCs w:val="22"/>
              </w:rPr>
              <w:t>, 1996)</w:t>
            </w:r>
          </w:p>
        </w:tc>
        <w:tc>
          <w:tcPr>
            <w:tcW w:w="2126" w:type="dxa"/>
            <w:tcBorders>
              <w:top w:val="nil"/>
              <w:left w:val="nil"/>
              <w:bottom w:val="nil"/>
              <w:right w:val="nil"/>
            </w:tcBorders>
            <w:shd w:val="clear" w:color="auto" w:fill="FFFFFF" w:themeFill="background1"/>
            <w:tcMar>
              <w:top w:w="15" w:type="dxa"/>
              <w:left w:w="100" w:type="dxa"/>
              <w:bottom w:w="0" w:type="dxa"/>
              <w:right w:w="100" w:type="dxa"/>
            </w:tcMar>
            <w:hideMark/>
          </w:tcPr>
          <w:p w14:paraId="152071E7" w14:textId="77777777" w:rsidR="00760DAE" w:rsidRPr="001169B0" w:rsidRDefault="00760DAE" w:rsidP="001169B0">
            <w:pPr>
              <w:rPr>
                <w:b/>
                <w:sz w:val="22"/>
                <w:szCs w:val="22"/>
              </w:rPr>
            </w:pPr>
            <w:r w:rsidRPr="001169B0">
              <w:rPr>
                <w:b/>
                <w:sz w:val="22"/>
                <w:szCs w:val="22"/>
                <w:lang w:val="en-US"/>
              </w:rPr>
              <w:t>El Balance Invisible</w:t>
            </w:r>
          </w:p>
          <w:p w14:paraId="18BE67D6" w14:textId="77777777" w:rsidR="00760DAE" w:rsidRPr="001169B0" w:rsidRDefault="00760DAE" w:rsidP="001169B0">
            <w:pPr>
              <w:rPr>
                <w:sz w:val="22"/>
                <w:szCs w:val="22"/>
              </w:rPr>
            </w:pPr>
            <w:r w:rsidRPr="001169B0">
              <w:rPr>
                <w:sz w:val="22"/>
                <w:szCs w:val="22"/>
                <w:lang w:val="en-US"/>
              </w:rPr>
              <w:t xml:space="preserve">    (</w:t>
            </w:r>
            <w:proofErr w:type="spellStart"/>
            <w:r w:rsidRPr="001169B0">
              <w:rPr>
                <w:sz w:val="22"/>
                <w:szCs w:val="22"/>
                <w:lang w:val="en-US"/>
              </w:rPr>
              <w:t>Sveiby</w:t>
            </w:r>
            <w:proofErr w:type="spellEnd"/>
            <w:r w:rsidRPr="001169B0">
              <w:rPr>
                <w:sz w:val="22"/>
                <w:szCs w:val="22"/>
                <w:lang w:val="en-US"/>
              </w:rPr>
              <w:t xml:space="preserve"> y Konrad Group, 1989)</w:t>
            </w:r>
          </w:p>
        </w:tc>
        <w:tc>
          <w:tcPr>
            <w:tcW w:w="2127" w:type="dxa"/>
            <w:tcBorders>
              <w:top w:val="nil"/>
              <w:left w:val="nil"/>
              <w:bottom w:val="nil"/>
              <w:right w:val="nil"/>
            </w:tcBorders>
            <w:shd w:val="clear" w:color="auto" w:fill="FFFFFF" w:themeFill="background1"/>
            <w:tcMar>
              <w:top w:w="15" w:type="dxa"/>
              <w:left w:w="100" w:type="dxa"/>
              <w:bottom w:w="0" w:type="dxa"/>
              <w:right w:w="100" w:type="dxa"/>
            </w:tcMar>
            <w:hideMark/>
          </w:tcPr>
          <w:p w14:paraId="5BA24A11" w14:textId="77777777" w:rsidR="00760DAE" w:rsidRPr="001169B0" w:rsidRDefault="00760DAE" w:rsidP="001169B0">
            <w:pPr>
              <w:rPr>
                <w:b/>
                <w:sz w:val="22"/>
                <w:szCs w:val="22"/>
              </w:rPr>
            </w:pPr>
            <w:r w:rsidRPr="001169B0">
              <w:rPr>
                <w:b/>
                <w:sz w:val="22"/>
                <w:szCs w:val="22"/>
              </w:rPr>
              <w:t>Valor intangible agregado</w:t>
            </w:r>
          </w:p>
          <w:p w14:paraId="7C005965" w14:textId="77777777" w:rsidR="00760DAE" w:rsidRPr="001169B0" w:rsidRDefault="00760DAE" w:rsidP="001169B0">
            <w:pPr>
              <w:rPr>
                <w:sz w:val="22"/>
                <w:szCs w:val="22"/>
              </w:rPr>
            </w:pPr>
            <w:r w:rsidRPr="001169B0">
              <w:rPr>
                <w:sz w:val="22"/>
                <w:szCs w:val="22"/>
                <w:lang w:val="en-US"/>
              </w:rPr>
              <w:t xml:space="preserve">    (Stewart, 1997)</w:t>
            </w:r>
          </w:p>
        </w:tc>
        <w:tc>
          <w:tcPr>
            <w:tcW w:w="2126" w:type="dxa"/>
            <w:tcBorders>
              <w:top w:val="nil"/>
              <w:left w:val="nil"/>
              <w:bottom w:val="nil"/>
            </w:tcBorders>
            <w:shd w:val="clear" w:color="auto" w:fill="FFFFFF" w:themeFill="background1"/>
          </w:tcPr>
          <w:p w14:paraId="3472751F" w14:textId="77777777" w:rsidR="00760DAE" w:rsidRPr="001169B0" w:rsidRDefault="00760DAE" w:rsidP="001169B0">
            <w:pPr>
              <w:rPr>
                <w:sz w:val="22"/>
                <w:szCs w:val="22"/>
                <w:lang w:val="es-AR"/>
              </w:rPr>
            </w:pPr>
            <w:r w:rsidRPr="001169B0">
              <w:rPr>
                <w:b/>
                <w:bCs/>
                <w:sz w:val="22"/>
                <w:szCs w:val="22"/>
                <w:lang w:val="es-AR"/>
              </w:rPr>
              <w:t xml:space="preserve">Navegador </w:t>
            </w:r>
            <w:proofErr w:type="spellStart"/>
            <w:r w:rsidRPr="001169B0">
              <w:rPr>
                <w:b/>
                <w:bCs/>
                <w:sz w:val="22"/>
                <w:szCs w:val="22"/>
                <w:lang w:val="es-AR"/>
              </w:rPr>
              <w:t>Skandia</w:t>
            </w:r>
            <w:proofErr w:type="spellEnd"/>
          </w:p>
          <w:p w14:paraId="260402CD" w14:textId="77777777" w:rsidR="00760DAE" w:rsidRPr="001169B0" w:rsidRDefault="00760DAE" w:rsidP="001169B0">
            <w:pPr>
              <w:rPr>
                <w:sz w:val="22"/>
                <w:szCs w:val="22"/>
                <w:lang w:val="es-AR"/>
              </w:rPr>
            </w:pPr>
            <w:r w:rsidRPr="001169B0">
              <w:rPr>
                <w:b/>
                <w:bCs/>
                <w:sz w:val="22"/>
                <w:szCs w:val="22"/>
                <w:lang w:val="es-AR"/>
              </w:rPr>
              <w:t xml:space="preserve">    </w:t>
            </w:r>
            <w:r w:rsidRPr="001169B0">
              <w:rPr>
                <w:sz w:val="22"/>
                <w:szCs w:val="22"/>
                <w:lang w:val="es-AR"/>
              </w:rPr>
              <w:t>(</w:t>
            </w:r>
            <w:proofErr w:type="spellStart"/>
            <w:r w:rsidRPr="001169B0">
              <w:rPr>
                <w:sz w:val="22"/>
                <w:szCs w:val="22"/>
                <w:lang w:val="es-AR"/>
              </w:rPr>
              <w:t>Edvinsson</w:t>
            </w:r>
            <w:proofErr w:type="spellEnd"/>
            <w:r w:rsidRPr="001169B0">
              <w:rPr>
                <w:sz w:val="22"/>
                <w:szCs w:val="22"/>
                <w:lang w:val="es-AR"/>
              </w:rPr>
              <w:t>, 1994)</w:t>
            </w:r>
          </w:p>
        </w:tc>
      </w:tr>
      <w:tr w:rsidR="00760DAE" w:rsidRPr="001169B0" w14:paraId="01FDE6D9" w14:textId="77777777" w:rsidTr="00B8592D">
        <w:trPr>
          <w:trHeight w:val="1264"/>
        </w:trPr>
        <w:tc>
          <w:tcPr>
            <w:tcW w:w="2405" w:type="dxa"/>
            <w:tcBorders>
              <w:top w:val="nil"/>
              <w:bottom w:val="nil"/>
              <w:right w:val="nil"/>
            </w:tcBorders>
            <w:shd w:val="clear" w:color="auto" w:fill="FFFFFF" w:themeFill="background1"/>
            <w:tcMar>
              <w:top w:w="15" w:type="dxa"/>
              <w:left w:w="100" w:type="dxa"/>
              <w:bottom w:w="0" w:type="dxa"/>
              <w:right w:w="100" w:type="dxa"/>
            </w:tcMar>
            <w:hideMark/>
          </w:tcPr>
          <w:p w14:paraId="3A58B75A" w14:textId="77777777" w:rsidR="00760DAE" w:rsidRPr="001169B0" w:rsidRDefault="00760DAE" w:rsidP="001169B0">
            <w:pPr>
              <w:rPr>
                <w:b/>
                <w:sz w:val="22"/>
                <w:szCs w:val="22"/>
                <w:lang w:val="en-US"/>
              </w:rPr>
            </w:pPr>
            <w:r w:rsidRPr="001169B0">
              <w:rPr>
                <w:b/>
                <w:sz w:val="22"/>
                <w:szCs w:val="22"/>
                <w:lang w:val="en-US"/>
              </w:rPr>
              <w:t>Citation- Weighted Patents</w:t>
            </w:r>
          </w:p>
          <w:p w14:paraId="787ED368" w14:textId="77777777" w:rsidR="00760DAE" w:rsidRPr="001169B0" w:rsidRDefault="00760DAE" w:rsidP="001169B0">
            <w:pPr>
              <w:rPr>
                <w:sz w:val="22"/>
                <w:szCs w:val="22"/>
                <w:lang w:val="en-US"/>
              </w:rPr>
            </w:pPr>
            <w:r w:rsidRPr="001169B0">
              <w:rPr>
                <w:sz w:val="22"/>
                <w:szCs w:val="22"/>
                <w:lang w:val="en-US"/>
              </w:rPr>
              <w:t xml:space="preserve">    (Dow Chemical, 1996)</w:t>
            </w:r>
          </w:p>
        </w:tc>
        <w:tc>
          <w:tcPr>
            <w:tcW w:w="2126" w:type="dxa"/>
            <w:tcBorders>
              <w:top w:val="nil"/>
              <w:left w:val="nil"/>
              <w:bottom w:val="nil"/>
              <w:right w:val="nil"/>
            </w:tcBorders>
            <w:shd w:val="clear" w:color="auto" w:fill="FFFFFF" w:themeFill="background1"/>
            <w:tcMar>
              <w:top w:w="15" w:type="dxa"/>
              <w:left w:w="100" w:type="dxa"/>
              <w:bottom w:w="0" w:type="dxa"/>
              <w:right w:w="100" w:type="dxa"/>
            </w:tcMar>
            <w:hideMark/>
          </w:tcPr>
          <w:p w14:paraId="34813A36" w14:textId="77777777" w:rsidR="00760DAE" w:rsidRPr="001169B0" w:rsidRDefault="00760DAE" w:rsidP="001169B0">
            <w:pPr>
              <w:rPr>
                <w:b/>
                <w:sz w:val="22"/>
                <w:szCs w:val="22"/>
              </w:rPr>
            </w:pPr>
            <w:r w:rsidRPr="001169B0">
              <w:rPr>
                <w:b/>
                <w:sz w:val="22"/>
                <w:szCs w:val="22"/>
              </w:rPr>
              <w:t xml:space="preserve">Ratio valor de mercado / valor en libros </w:t>
            </w:r>
          </w:p>
          <w:p w14:paraId="5CA30627" w14:textId="77777777" w:rsidR="00760DAE" w:rsidRPr="001169B0" w:rsidRDefault="00760DAE" w:rsidP="001169B0">
            <w:pPr>
              <w:rPr>
                <w:sz w:val="22"/>
                <w:szCs w:val="22"/>
              </w:rPr>
            </w:pPr>
            <w:r w:rsidRPr="001169B0">
              <w:rPr>
                <w:sz w:val="22"/>
                <w:szCs w:val="22"/>
              </w:rPr>
              <w:t xml:space="preserve"> </w:t>
            </w:r>
            <w:r w:rsidRPr="001169B0">
              <w:rPr>
                <w:sz w:val="22"/>
                <w:szCs w:val="22"/>
                <w:lang w:val="es-AR"/>
              </w:rPr>
              <w:t xml:space="preserve">  </w:t>
            </w:r>
            <w:r w:rsidRPr="001169B0">
              <w:rPr>
                <w:sz w:val="22"/>
                <w:szCs w:val="22"/>
                <w:lang w:val="en-US"/>
              </w:rPr>
              <w:t>(Stewart, 1997)</w:t>
            </w:r>
          </w:p>
        </w:tc>
        <w:tc>
          <w:tcPr>
            <w:tcW w:w="2127" w:type="dxa"/>
            <w:tcBorders>
              <w:top w:val="nil"/>
              <w:left w:val="nil"/>
              <w:bottom w:val="nil"/>
              <w:right w:val="nil"/>
            </w:tcBorders>
            <w:shd w:val="clear" w:color="auto" w:fill="FFFFFF" w:themeFill="background1"/>
            <w:tcMar>
              <w:top w:w="15" w:type="dxa"/>
              <w:left w:w="100" w:type="dxa"/>
              <w:bottom w:w="0" w:type="dxa"/>
              <w:right w:w="100" w:type="dxa"/>
            </w:tcMar>
            <w:hideMark/>
          </w:tcPr>
          <w:p w14:paraId="752FEC84" w14:textId="77777777" w:rsidR="00760DAE" w:rsidRPr="001169B0" w:rsidRDefault="00760DAE" w:rsidP="001169B0">
            <w:pPr>
              <w:rPr>
                <w:b/>
                <w:sz w:val="22"/>
                <w:szCs w:val="22"/>
              </w:rPr>
            </w:pPr>
            <w:r w:rsidRPr="001169B0">
              <w:rPr>
                <w:b/>
                <w:sz w:val="22"/>
                <w:szCs w:val="22"/>
              </w:rPr>
              <w:t>Coeficiente de valor agregado intelectual (</w:t>
            </w:r>
            <w:r w:rsidRPr="001169B0">
              <w:rPr>
                <w:b/>
                <w:sz w:val="22"/>
                <w:szCs w:val="22"/>
                <w:lang w:val="es-AR"/>
              </w:rPr>
              <w:t>VAIC)</w:t>
            </w:r>
          </w:p>
          <w:p w14:paraId="4A9188CD" w14:textId="77777777" w:rsidR="00760DAE" w:rsidRPr="001169B0" w:rsidRDefault="00760DAE" w:rsidP="001169B0">
            <w:pPr>
              <w:rPr>
                <w:sz w:val="22"/>
                <w:szCs w:val="22"/>
              </w:rPr>
            </w:pPr>
            <w:r w:rsidRPr="001169B0">
              <w:rPr>
                <w:sz w:val="22"/>
                <w:szCs w:val="22"/>
                <w:lang w:val="es-AR"/>
              </w:rPr>
              <w:t xml:space="preserve">    </w:t>
            </w:r>
            <w:r w:rsidRPr="001169B0">
              <w:rPr>
                <w:sz w:val="22"/>
                <w:szCs w:val="22"/>
                <w:lang w:val="en-US"/>
              </w:rPr>
              <w:t>(</w:t>
            </w:r>
            <w:proofErr w:type="spellStart"/>
            <w:r w:rsidRPr="001169B0">
              <w:rPr>
                <w:sz w:val="22"/>
                <w:szCs w:val="22"/>
                <w:lang w:val="en-US"/>
              </w:rPr>
              <w:t>Pulic</w:t>
            </w:r>
            <w:proofErr w:type="spellEnd"/>
            <w:r w:rsidRPr="001169B0">
              <w:rPr>
                <w:sz w:val="22"/>
                <w:szCs w:val="22"/>
                <w:lang w:val="en-US"/>
              </w:rPr>
              <w:t>, 1998)</w:t>
            </w:r>
          </w:p>
        </w:tc>
        <w:tc>
          <w:tcPr>
            <w:tcW w:w="2126" w:type="dxa"/>
            <w:tcBorders>
              <w:top w:val="nil"/>
              <w:left w:val="nil"/>
              <w:bottom w:val="nil"/>
            </w:tcBorders>
            <w:shd w:val="clear" w:color="auto" w:fill="FFFFFF" w:themeFill="background1"/>
          </w:tcPr>
          <w:p w14:paraId="4C39FC42" w14:textId="77777777" w:rsidR="00760DAE" w:rsidRPr="001169B0" w:rsidRDefault="00760DAE" w:rsidP="001169B0">
            <w:pPr>
              <w:rPr>
                <w:sz w:val="22"/>
                <w:szCs w:val="22"/>
                <w:lang w:val="es-AR"/>
              </w:rPr>
            </w:pPr>
            <w:r w:rsidRPr="001169B0">
              <w:rPr>
                <w:b/>
                <w:bCs/>
                <w:sz w:val="22"/>
                <w:szCs w:val="22"/>
                <w:lang w:val="es-AR"/>
              </w:rPr>
              <w:t>Índice de CI</w:t>
            </w:r>
          </w:p>
          <w:p w14:paraId="678F5D5F" w14:textId="77777777" w:rsidR="00760DAE" w:rsidRPr="001169B0" w:rsidRDefault="00760DAE" w:rsidP="001169B0">
            <w:pPr>
              <w:rPr>
                <w:sz w:val="22"/>
                <w:szCs w:val="22"/>
                <w:lang w:val="es-AR"/>
              </w:rPr>
            </w:pPr>
            <w:r w:rsidRPr="001169B0">
              <w:rPr>
                <w:b/>
                <w:bCs/>
                <w:sz w:val="22"/>
                <w:szCs w:val="22"/>
                <w:lang w:val="es-AR"/>
              </w:rPr>
              <w:t xml:space="preserve">    </w:t>
            </w:r>
            <w:r w:rsidRPr="001169B0">
              <w:rPr>
                <w:sz w:val="22"/>
                <w:szCs w:val="22"/>
                <w:lang w:val="en-US"/>
              </w:rPr>
              <w:t xml:space="preserve">(Ross, Ross, </w:t>
            </w:r>
            <w:proofErr w:type="spellStart"/>
            <w:r w:rsidRPr="001169B0">
              <w:rPr>
                <w:sz w:val="22"/>
                <w:szCs w:val="22"/>
                <w:lang w:val="en-US"/>
              </w:rPr>
              <w:t>Dragonetti</w:t>
            </w:r>
            <w:proofErr w:type="spellEnd"/>
            <w:r w:rsidRPr="001169B0">
              <w:rPr>
                <w:sz w:val="22"/>
                <w:szCs w:val="22"/>
                <w:lang w:val="en-US"/>
              </w:rPr>
              <w:t xml:space="preserve"> y </w:t>
            </w:r>
            <w:proofErr w:type="spellStart"/>
            <w:r w:rsidRPr="001169B0">
              <w:rPr>
                <w:sz w:val="22"/>
                <w:szCs w:val="22"/>
                <w:lang w:val="en-US"/>
              </w:rPr>
              <w:t>Edvinsson</w:t>
            </w:r>
            <w:proofErr w:type="spellEnd"/>
            <w:r w:rsidRPr="001169B0">
              <w:rPr>
                <w:sz w:val="22"/>
                <w:szCs w:val="22"/>
                <w:lang w:val="en-US"/>
              </w:rPr>
              <w:t>, 1997)</w:t>
            </w:r>
          </w:p>
        </w:tc>
      </w:tr>
      <w:tr w:rsidR="00760DAE" w:rsidRPr="001169B0" w14:paraId="5B481157" w14:textId="77777777" w:rsidTr="00B8592D">
        <w:trPr>
          <w:trHeight w:val="948"/>
        </w:trPr>
        <w:tc>
          <w:tcPr>
            <w:tcW w:w="2405" w:type="dxa"/>
            <w:tcBorders>
              <w:top w:val="nil"/>
              <w:bottom w:val="nil"/>
              <w:right w:val="nil"/>
            </w:tcBorders>
            <w:shd w:val="clear" w:color="auto" w:fill="FFFFFF" w:themeFill="background1"/>
            <w:tcMar>
              <w:top w:w="15" w:type="dxa"/>
              <w:left w:w="100" w:type="dxa"/>
              <w:bottom w:w="0" w:type="dxa"/>
              <w:right w:w="100" w:type="dxa"/>
            </w:tcMar>
            <w:hideMark/>
          </w:tcPr>
          <w:p w14:paraId="048DC470" w14:textId="77777777" w:rsidR="00760DAE" w:rsidRPr="001169B0" w:rsidRDefault="00760DAE" w:rsidP="001169B0">
            <w:pPr>
              <w:rPr>
                <w:b/>
                <w:sz w:val="22"/>
                <w:szCs w:val="22"/>
              </w:rPr>
            </w:pPr>
            <w:r w:rsidRPr="001169B0">
              <w:rPr>
                <w:b/>
                <w:sz w:val="22"/>
                <w:szCs w:val="22"/>
                <w:lang w:val="es-AR"/>
              </w:rPr>
              <w:t>Contabilidad para el futuro</w:t>
            </w:r>
          </w:p>
          <w:p w14:paraId="4DB5B99B" w14:textId="77777777" w:rsidR="00760DAE" w:rsidRPr="001169B0" w:rsidRDefault="00760DAE" w:rsidP="001169B0">
            <w:pPr>
              <w:rPr>
                <w:sz w:val="22"/>
                <w:szCs w:val="22"/>
              </w:rPr>
            </w:pPr>
            <w:r w:rsidRPr="001169B0">
              <w:rPr>
                <w:sz w:val="22"/>
                <w:szCs w:val="22"/>
                <w:lang w:val="es-AR"/>
              </w:rPr>
              <w:t xml:space="preserve">    (Nash, 1998)</w:t>
            </w:r>
          </w:p>
        </w:tc>
        <w:tc>
          <w:tcPr>
            <w:tcW w:w="2126" w:type="dxa"/>
            <w:tcBorders>
              <w:top w:val="nil"/>
              <w:left w:val="nil"/>
              <w:bottom w:val="nil"/>
              <w:right w:val="nil"/>
            </w:tcBorders>
            <w:shd w:val="clear" w:color="auto" w:fill="FFFFFF" w:themeFill="background1"/>
            <w:tcMar>
              <w:top w:w="15" w:type="dxa"/>
              <w:left w:w="100" w:type="dxa"/>
              <w:bottom w:w="0" w:type="dxa"/>
              <w:right w:w="100" w:type="dxa"/>
            </w:tcMar>
            <w:hideMark/>
          </w:tcPr>
          <w:p w14:paraId="4F9E53A1" w14:textId="77777777" w:rsidR="00760DAE" w:rsidRPr="001169B0" w:rsidRDefault="00760DAE" w:rsidP="001169B0">
            <w:pPr>
              <w:rPr>
                <w:b/>
                <w:sz w:val="22"/>
                <w:szCs w:val="22"/>
              </w:rPr>
            </w:pPr>
            <w:r w:rsidRPr="001169B0">
              <w:rPr>
                <w:b/>
                <w:sz w:val="22"/>
                <w:szCs w:val="22"/>
              </w:rPr>
              <w:t>Valor de mercado asignado por el inversor</w:t>
            </w:r>
          </w:p>
          <w:p w14:paraId="07FB1A5D" w14:textId="77777777" w:rsidR="00760DAE" w:rsidRPr="001169B0" w:rsidRDefault="00760DAE" w:rsidP="001169B0">
            <w:pPr>
              <w:rPr>
                <w:sz w:val="22"/>
                <w:szCs w:val="22"/>
              </w:rPr>
            </w:pPr>
            <w:r w:rsidRPr="001169B0">
              <w:rPr>
                <w:sz w:val="22"/>
                <w:szCs w:val="22"/>
              </w:rPr>
              <w:t xml:space="preserve"> </w:t>
            </w:r>
            <w:r w:rsidRPr="001169B0">
              <w:rPr>
                <w:sz w:val="22"/>
                <w:szCs w:val="22"/>
                <w:lang w:val="es-AR"/>
              </w:rPr>
              <w:t xml:space="preserve">   </w:t>
            </w:r>
            <w:r w:rsidRPr="001169B0">
              <w:rPr>
                <w:sz w:val="22"/>
                <w:szCs w:val="22"/>
              </w:rPr>
              <w:t>(</w:t>
            </w:r>
            <w:proofErr w:type="spellStart"/>
            <w:r w:rsidRPr="001169B0">
              <w:rPr>
                <w:sz w:val="22"/>
                <w:szCs w:val="22"/>
              </w:rPr>
              <w:t>Standfield</w:t>
            </w:r>
            <w:proofErr w:type="spellEnd"/>
            <w:r w:rsidRPr="001169B0">
              <w:rPr>
                <w:sz w:val="22"/>
                <w:szCs w:val="22"/>
              </w:rPr>
              <w:t>, 1998)</w:t>
            </w:r>
          </w:p>
        </w:tc>
        <w:tc>
          <w:tcPr>
            <w:tcW w:w="2127" w:type="dxa"/>
            <w:tcBorders>
              <w:top w:val="nil"/>
              <w:left w:val="nil"/>
              <w:bottom w:val="nil"/>
              <w:right w:val="nil"/>
            </w:tcBorders>
            <w:shd w:val="clear" w:color="auto" w:fill="FFFFFF" w:themeFill="background1"/>
            <w:tcMar>
              <w:top w:w="15" w:type="dxa"/>
              <w:left w:w="100" w:type="dxa"/>
              <w:bottom w:w="0" w:type="dxa"/>
              <w:right w:w="100" w:type="dxa"/>
            </w:tcMar>
            <w:hideMark/>
          </w:tcPr>
          <w:p w14:paraId="472F1137" w14:textId="77777777" w:rsidR="00760DAE" w:rsidRPr="001169B0" w:rsidRDefault="00760DAE" w:rsidP="001169B0">
            <w:pPr>
              <w:rPr>
                <w:b/>
                <w:sz w:val="22"/>
                <w:szCs w:val="22"/>
              </w:rPr>
            </w:pPr>
            <w:r w:rsidRPr="001169B0">
              <w:rPr>
                <w:b/>
                <w:sz w:val="22"/>
                <w:szCs w:val="22"/>
              </w:rPr>
              <w:t>Beneficios del capital de conocimiento</w:t>
            </w:r>
          </w:p>
          <w:p w14:paraId="73B443FE" w14:textId="77777777" w:rsidR="00760DAE" w:rsidRPr="001169B0" w:rsidRDefault="00760DAE" w:rsidP="001169B0">
            <w:pPr>
              <w:rPr>
                <w:sz w:val="22"/>
                <w:szCs w:val="22"/>
              </w:rPr>
            </w:pPr>
            <w:r w:rsidRPr="001169B0">
              <w:rPr>
                <w:sz w:val="22"/>
                <w:szCs w:val="22"/>
              </w:rPr>
              <w:t xml:space="preserve">    </w:t>
            </w:r>
            <w:r w:rsidRPr="001169B0">
              <w:rPr>
                <w:sz w:val="22"/>
                <w:szCs w:val="22"/>
                <w:lang w:val="es-AR"/>
              </w:rPr>
              <w:t>(Lev, 1999)</w:t>
            </w:r>
          </w:p>
        </w:tc>
        <w:tc>
          <w:tcPr>
            <w:tcW w:w="2126" w:type="dxa"/>
            <w:tcBorders>
              <w:top w:val="nil"/>
              <w:left w:val="nil"/>
              <w:bottom w:val="nil"/>
            </w:tcBorders>
            <w:shd w:val="clear" w:color="auto" w:fill="FFFFFF" w:themeFill="background1"/>
          </w:tcPr>
          <w:p w14:paraId="65A15F62" w14:textId="77777777" w:rsidR="00760DAE" w:rsidRPr="001169B0" w:rsidRDefault="00760DAE" w:rsidP="001169B0">
            <w:pPr>
              <w:rPr>
                <w:sz w:val="22"/>
                <w:szCs w:val="22"/>
                <w:lang w:val="es-AR"/>
              </w:rPr>
            </w:pPr>
            <w:r w:rsidRPr="001169B0">
              <w:rPr>
                <w:b/>
                <w:bCs/>
                <w:sz w:val="22"/>
                <w:szCs w:val="22"/>
                <w:lang w:val="es-AR"/>
              </w:rPr>
              <w:t>Monitor de Activos Intangibles</w:t>
            </w:r>
          </w:p>
          <w:p w14:paraId="7AD51308" w14:textId="77777777" w:rsidR="00760DAE" w:rsidRPr="001169B0" w:rsidRDefault="00760DAE" w:rsidP="001169B0">
            <w:pPr>
              <w:rPr>
                <w:sz w:val="22"/>
                <w:szCs w:val="22"/>
                <w:lang w:val="es-AR"/>
              </w:rPr>
            </w:pPr>
            <w:r w:rsidRPr="001169B0">
              <w:rPr>
                <w:b/>
                <w:bCs/>
                <w:sz w:val="22"/>
                <w:szCs w:val="22"/>
                <w:lang w:val="es-AR"/>
              </w:rPr>
              <w:t xml:space="preserve">    </w:t>
            </w:r>
            <w:r w:rsidRPr="001169B0">
              <w:rPr>
                <w:sz w:val="22"/>
                <w:szCs w:val="22"/>
                <w:lang w:val="es-AR"/>
              </w:rPr>
              <w:t>(</w:t>
            </w:r>
            <w:proofErr w:type="spellStart"/>
            <w:r w:rsidRPr="001169B0">
              <w:rPr>
                <w:sz w:val="22"/>
                <w:szCs w:val="22"/>
                <w:lang w:val="es-AR"/>
              </w:rPr>
              <w:t>Sveiby</w:t>
            </w:r>
            <w:proofErr w:type="spellEnd"/>
            <w:r w:rsidRPr="001169B0">
              <w:rPr>
                <w:sz w:val="22"/>
                <w:szCs w:val="22"/>
                <w:lang w:val="es-AR"/>
              </w:rPr>
              <w:t>, 1997)</w:t>
            </w:r>
          </w:p>
        </w:tc>
      </w:tr>
      <w:tr w:rsidR="00760DAE" w:rsidRPr="001169B0" w14:paraId="562A1CBF" w14:textId="77777777" w:rsidTr="00B8592D">
        <w:trPr>
          <w:trHeight w:val="948"/>
        </w:trPr>
        <w:tc>
          <w:tcPr>
            <w:tcW w:w="2405" w:type="dxa"/>
            <w:tcBorders>
              <w:top w:val="nil"/>
              <w:bottom w:val="nil"/>
              <w:right w:val="nil"/>
            </w:tcBorders>
            <w:shd w:val="clear" w:color="auto" w:fill="FFFFFF" w:themeFill="background1"/>
            <w:tcMar>
              <w:top w:w="15" w:type="dxa"/>
              <w:left w:w="100" w:type="dxa"/>
              <w:bottom w:w="0" w:type="dxa"/>
              <w:right w:w="100" w:type="dxa"/>
            </w:tcMar>
            <w:hideMark/>
          </w:tcPr>
          <w:p w14:paraId="76CE251F" w14:textId="77777777" w:rsidR="00760DAE" w:rsidRPr="001169B0" w:rsidRDefault="00760DAE" w:rsidP="001169B0">
            <w:pPr>
              <w:rPr>
                <w:b/>
                <w:sz w:val="22"/>
                <w:szCs w:val="22"/>
              </w:rPr>
            </w:pPr>
            <w:r w:rsidRPr="001169B0">
              <w:rPr>
                <w:b/>
                <w:sz w:val="22"/>
                <w:szCs w:val="22"/>
              </w:rPr>
              <w:t>Metodología de valoración inclusiva</w:t>
            </w:r>
          </w:p>
          <w:p w14:paraId="5D731364" w14:textId="77777777" w:rsidR="00760DAE" w:rsidRPr="001169B0" w:rsidRDefault="00760DAE" w:rsidP="001169B0">
            <w:pPr>
              <w:rPr>
                <w:sz w:val="22"/>
                <w:szCs w:val="22"/>
              </w:rPr>
            </w:pPr>
            <w:r w:rsidRPr="001169B0">
              <w:rPr>
                <w:sz w:val="22"/>
                <w:szCs w:val="22"/>
              </w:rPr>
              <w:t xml:space="preserve">   (</w:t>
            </w:r>
            <w:r w:rsidRPr="001169B0">
              <w:rPr>
                <w:sz w:val="22"/>
                <w:szCs w:val="22"/>
                <w:lang w:val="es-AR"/>
              </w:rPr>
              <w:t>McPherson, 1998)</w:t>
            </w:r>
          </w:p>
        </w:tc>
        <w:tc>
          <w:tcPr>
            <w:tcW w:w="2126" w:type="dxa"/>
            <w:tcBorders>
              <w:top w:val="nil"/>
              <w:left w:val="nil"/>
              <w:bottom w:val="nil"/>
              <w:right w:val="nil"/>
            </w:tcBorders>
            <w:shd w:val="clear" w:color="auto" w:fill="FFFFFF" w:themeFill="background1"/>
            <w:tcMar>
              <w:top w:w="15" w:type="dxa"/>
              <w:left w:w="100" w:type="dxa"/>
              <w:bottom w:w="0" w:type="dxa"/>
              <w:right w:w="100" w:type="dxa"/>
            </w:tcMar>
            <w:hideMark/>
          </w:tcPr>
          <w:p w14:paraId="22BBCA5B" w14:textId="77777777" w:rsidR="00760DAE" w:rsidRPr="001169B0" w:rsidRDefault="00760DAE" w:rsidP="001169B0">
            <w:pPr>
              <w:rPr>
                <w:sz w:val="22"/>
                <w:szCs w:val="22"/>
              </w:rPr>
            </w:pPr>
            <w:r w:rsidRPr="001169B0">
              <w:rPr>
                <w:sz w:val="22"/>
                <w:szCs w:val="22"/>
              </w:rPr>
              <w:t> </w:t>
            </w:r>
          </w:p>
        </w:tc>
        <w:tc>
          <w:tcPr>
            <w:tcW w:w="2127" w:type="dxa"/>
            <w:tcBorders>
              <w:top w:val="nil"/>
              <w:left w:val="nil"/>
              <w:bottom w:val="nil"/>
              <w:right w:val="nil"/>
            </w:tcBorders>
            <w:shd w:val="clear" w:color="auto" w:fill="FFFFFF" w:themeFill="background1"/>
            <w:tcMar>
              <w:top w:w="15" w:type="dxa"/>
              <w:left w:w="100" w:type="dxa"/>
              <w:bottom w:w="0" w:type="dxa"/>
              <w:right w:w="100" w:type="dxa"/>
            </w:tcMar>
            <w:hideMark/>
          </w:tcPr>
          <w:p w14:paraId="194ED589" w14:textId="77777777" w:rsidR="00760DAE" w:rsidRPr="001169B0" w:rsidRDefault="00760DAE" w:rsidP="001169B0">
            <w:pPr>
              <w:rPr>
                <w:sz w:val="22"/>
                <w:szCs w:val="22"/>
              </w:rPr>
            </w:pPr>
            <w:r w:rsidRPr="001169B0">
              <w:rPr>
                <w:sz w:val="22"/>
                <w:szCs w:val="22"/>
              </w:rPr>
              <w:t> </w:t>
            </w:r>
          </w:p>
        </w:tc>
        <w:tc>
          <w:tcPr>
            <w:tcW w:w="2126" w:type="dxa"/>
            <w:tcBorders>
              <w:top w:val="nil"/>
              <w:left w:val="nil"/>
              <w:bottom w:val="nil"/>
            </w:tcBorders>
            <w:shd w:val="clear" w:color="auto" w:fill="FFFFFF" w:themeFill="background1"/>
          </w:tcPr>
          <w:p w14:paraId="00629F65" w14:textId="77777777" w:rsidR="00760DAE" w:rsidRPr="001169B0" w:rsidRDefault="00760DAE" w:rsidP="001169B0">
            <w:pPr>
              <w:rPr>
                <w:sz w:val="22"/>
                <w:szCs w:val="22"/>
                <w:lang w:val="es-AR"/>
              </w:rPr>
            </w:pPr>
            <w:r w:rsidRPr="001169B0">
              <w:rPr>
                <w:b/>
                <w:bCs/>
                <w:sz w:val="22"/>
                <w:szCs w:val="22"/>
                <w:lang w:val="es-AR"/>
              </w:rPr>
              <w:t xml:space="preserve">Modelo </w:t>
            </w:r>
            <w:proofErr w:type="spellStart"/>
            <w:r w:rsidRPr="001169B0">
              <w:rPr>
                <w:b/>
                <w:bCs/>
                <w:sz w:val="22"/>
                <w:szCs w:val="22"/>
                <w:lang w:val="es-AR"/>
              </w:rPr>
              <w:t>Intellect</w:t>
            </w:r>
            <w:proofErr w:type="spellEnd"/>
          </w:p>
          <w:p w14:paraId="6289A920" w14:textId="77777777" w:rsidR="00760DAE" w:rsidRPr="001169B0" w:rsidRDefault="00760DAE" w:rsidP="001169B0">
            <w:pPr>
              <w:rPr>
                <w:sz w:val="22"/>
                <w:szCs w:val="22"/>
                <w:lang w:val="es-AR"/>
              </w:rPr>
            </w:pPr>
            <w:r w:rsidRPr="001169B0">
              <w:rPr>
                <w:b/>
                <w:bCs/>
                <w:sz w:val="22"/>
                <w:szCs w:val="22"/>
                <w:lang w:val="es-AR"/>
              </w:rPr>
              <w:t xml:space="preserve">    </w:t>
            </w:r>
            <w:r w:rsidRPr="001169B0">
              <w:rPr>
                <w:sz w:val="22"/>
                <w:szCs w:val="22"/>
                <w:lang w:val="es-AR"/>
              </w:rPr>
              <w:t>(</w:t>
            </w:r>
            <w:proofErr w:type="spellStart"/>
            <w:r w:rsidRPr="001169B0">
              <w:rPr>
                <w:sz w:val="22"/>
                <w:szCs w:val="22"/>
                <w:lang w:val="es-AR"/>
              </w:rPr>
              <w:t>Euroforum</w:t>
            </w:r>
            <w:proofErr w:type="spellEnd"/>
            <w:r w:rsidRPr="001169B0">
              <w:rPr>
                <w:sz w:val="22"/>
                <w:szCs w:val="22"/>
                <w:lang w:val="es-AR"/>
              </w:rPr>
              <w:t>, 1998)</w:t>
            </w:r>
          </w:p>
        </w:tc>
      </w:tr>
      <w:tr w:rsidR="00760DAE" w:rsidRPr="001169B0" w14:paraId="504FF80B" w14:textId="77777777" w:rsidTr="00B8592D">
        <w:trPr>
          <w:trHeight w:val="948"/>
        </w:trPr>
        <w:tc>
          <w:tcPr>
            <w:tcW w:w="2405" w:type="dxa"/>
            <w:tcBorders>
              <w:top w:val="nil"/>
              <w:bottom w:val="single" w:sz="4" w:space="0" w:color="auto"/>
              <w:right w:val="nil"/>
            </w:tcBorders>
            <w:shd w:val="clear" w:color="auto" w:fill="FFFFFF" w:themeFill="background1"/>
            <w:tcMar>
              <w:top w:w="15" w:type="dxa"/>
              <w:left w:w="100" w:type="dxa"/>
              <w:bottom w:w="0" w:type="dxa"/>
              <w:right w:w="100" w:type="dxa"/>
            </w:tcMar>
            <w:hideMark/>
          </w:tcPr>
          <w:p w14:paraId="289DB7BC" w14:textId="77777777" w:rsidR="00760DAE" w:rsidRPr="001169B0" w:rsidRDefault="00760DAE" w:rsidP="001169B0">
            <w:pPr>
              <w:rPr>
                <w:b/>
                <w:sz w:val="22"/>
                <w:szCs w:val="22"/>
                <w:lang w:val="en-US"/>
              </w:rPr>
            </w:pPr>
            <w:r w:rsidRPr="001169B0">
              <w:rPr>
                <w:b/>
                <w:sz w:val="22"/>
                <w:szCs w:val="22"/>
                <w:lang w:val="en-US"/>
              </w:rPr>
              <w:t xml:space="preserve">The Value Explorer </w:t>
            </w:r>
          </w:p>
          <w:p w14:paraId="459E73CC" w14:textId="77777777" w:rsidR="00760DAE" w:rsidRPr="001169B0" w:rsidRDefault="00760DAE" w:rsidP="001169B0">
            <w:pPr>
              <w:rPr>
                <w:sz w:val="22"/>
                <w:szCs w:val="22"/>
                <w:lang w:val="en-US"/>
              </w:rPr>
            </w:pPr>
            <w:r w:rsidRPr="001169B0">
              <w:rPr>
                <w:sz w:val="22"/>
                <w:szCs w:val="22"/>
                <w:lang w:val="en-US"/>
              </w:rPr>
              <w:t xml:space="preserve">   (</w:t>
            </w:r>
            <w:proofErr w:type="spellStart"/>
            <w:r w:rsidRPr="001169B0">
              <w:rPr>
                <w:sz w:val="22"/>
                <w:szCs w:val="22"/>
                <w:lang w:val="en-US"/>
              </w:rPr>
              <w:t>Andriessen</w:t>
            </w:r>
            <w:proofErr w:type="spellEnd"/>
            <w:r w:rsidRPr="001169B0">
              <w:rPr>
                <w:sz w:val="22"/>
                <w:szCs w:val="22"/>
                <w:lang w:val="en-US"/>
              </w:rPr>
              <w:t xml:space="preserve"> y </w:t>
            </w:r>
            <w:proofErr w:type="spellStart"/>
            <w:r w:rsidRPr="001169B0">
              <w:rPr>
                <w:sz w:val="22"/>
                <w:szCs w:val="22"/>
                <w:lang w:val="en-US"/>
              </w:rPr>
              <w:t>Tiessen</w:t>
            </w:r>
            <w:proofErr w:type="spellEnd"/>
            <w:r w:rsidRPr="001169B0">
              <w:rPr>
                <w:sz w:val="22"/>
                <w:szCs w:val="22"/>
                <w:lang w:val="en-US"/>
              </w:rPr>
              <w:t>, 2000)</w:t>
            </w:r>
          </w:p>
        </w:tc>
        <w:tc>
          <w:tcPr>
            <w:tcW w:w="2126" w:type="dxa"/>
            <w:tcBorders>
              <w:top w:val="nil"/>
              <w:left w:val="nil"/>
              <w:bottom w:val="single" w:sz="4" w:space="0" w:color="auto"/>
              <w:right w:val="nil"/>
            </w:tcBorders>
            <w:shd w:val="clear" w:color="auto" w:fill="FFFFFF" w:themeFill="background1"/>
            <w:tcMar>
              <w:top w:w="15" w:type="dxa"/>
              <w:left w:w="100" w:type="dxa"/>
              <w:bottom w:w="0" w:type="dxa"/>
              <w:right w:w="100" w:type="dxa"/>
            </w:tcMar>
            <w:hideMark/>
          </w:tcPr>
          <w:p w14:paraId="6ACD4468" w14:textId="77777777" w:rsidR="00760DAE" w:rsidRPr="001169B0" w:rsidRDefault="00760DAE" w:rsidP="001169B0">
            <w:pPr>
              <w:rPr>
                <w:sz w:val="22"/>
                <w:szCs w:val="22"/>
                <w:lang w:val="en-US"/>
              </w:rPr>
            </w:pPr>
            <w:r w:rsidRPr="001169B0">
              <w:rPr>
                <w:sz w:val="22"/>
                <w:szCs w:val="22"/>
                <w:lang w:val="en-US"/>
              </w:rPr>
              <w:t> </w:t>
            </w:r>
          </w:p>
        </w:tc>
        <w:tc>
          <w:tcPr>
            <w:tcW w:w="2127" w:type="dxa"/>
            <w:tcBorders>
              <w:top w:val="nil"/>
              <w:left w:val="nil"/>
              <w:bottom w:val="single" w:sz="4" w:space="0" w:color="auto"/>
              <w:right w:val="nil"/>
            </w:tcBorders>
            <w:shd w:val="clear" w:color="auto" w:fill="FFFFFF" w:themeFill="background1"/>
            <w:tcMar>
              <w:top w:w="15" w:type="dxa"/>
              <w:left w:w="100" w:type="dxa"/>
              <w:bottom w:w="0" w:type="dxa"/>
              <w:right w:w="100" w:type="dxa"/>
            </w:tcMar>
            <w:hideMark/>
          </w:tcPr>
          <w:p w14:paraId="5FC627D1" w14:textId="77777777" w:rsidR="00760DAE" w:rsidRPr="001169B0" w:rsidRDefault="00760DAE" w:rsidP="001169B0">
            <w:pPr>
              <w:rPr>
                <w:sz w:val="22"/>
                <w:szCs w:val="22"/>
                <w:lang w:val="en-US"/>
              </w:rPr>
            </w:pPr>
            <w:r w:rsidRPr="001169B0">
              <w:rPr>
                <w:sz w:val="22"/>
                <w:szCs w:val="22"/>
                <w:lang w:val="en-US"/>
              </w:rPr>
              <w:t> </w:t>
            </w:r>
          </w:p>
        </w:tc>
        <w:tc>
          <w:tcPr>
            <w:tcW w:w="2126" w:type="dxa"/>
            <w:tcBorders>
              <w:top w:val="nil"/>
              <w:left w:val="nil"/>
              <w:bottom w:val="single" w:sz="4" w:space="0" w:color="auto"/>
            </w:tcBorders>
            <w:shd w:val="clear" w:color="auto" w:fill="FFFFFF" w:themeFill="background1"/>
          </w:tcPr>
          <w:tbl>
            <w:tblPr>
              <w:tblW w:w="5920" w:type="dxa"/>
              <w:tblLayout w:type="fixed"/>
              <w:tblCellMar>
                <w:left w:w="0" w:type="dxa"/>
                <w:right w:w="0" w:type="dxa"/>
              </w:tblCellMar>
              <w:tblLook w:val="04A0" w:firstRow="1" w:lastRow="0" w:firstColumn="1" w:lastColumn="0" w:noHBand="0" w:noVBand="1"/>
            </w:tblPr>
            <w:tblGrid>
              <w:gridCol w:w="5920"/>
            </w:tblGrid>
            <w:tr w:rsidR="00760DAE" w:rsidRPr="001169B0" w14:paraId="77E51AF3" w14:textId="77777777" w:rsidTr="00D12EC2">
              <w:trPr>
                <w:trHeight w:val="974"/>
              </w:trPr>
              <w:tc>
                <w:tcPr>
                  <w:tcW w:w="5920" w:type="dxa"/>
                  <w:shd w:val="clear" w:color="auto" w:fill="auto"/>
                  <w:tcMar>
                    <w:top w:w="15" w:type="dxa"/>
                    <w:left w:w="26" w:type="dxa"/>
                    <w:bottom w:w="0" w:type="dxa"/>
                    <w:right w:w="26" w:type="dxa"/>
                  </w:tcMar>
                  <w:hideMark/>
                </w:tcPr>
                <w:p w14:paraId="3B5768DE" w14:textId="77777777" w:rsidR="005D4189" w:rsidRDefault="00760DAE" w:rsidP="001169B0">
                  <w:pPr>
                    <w:rPr>
                      <w:b/>
                      <w:bCs/>
                      <w:sz w:val="22"/>
                      <w:szCs w:val="22"/>
                      <w:lang w:val="es-AR"/>
                    </w:rPr>
                  </w:pPr>
                  <w:proofErr w:type="spellStart"/>
                  <w:r w:rsidRPr="001169B0">
                    <w:rPr>
                      <w:b/>
                      <w:bCs/>
                      <w:sz w:val="22"/>
                      <w:szCs w:val="22"/>
                      <w:lang w:val="es-AR"/>
                    </w:rPr>
                    <w:t>Value</w:t>
                  </w:r>
                  <w:proofErr w:type="spellEnd"/>
                  <w:r w:rsidRPr="001169B0">
                    <w:rPr>
                      <w:b/>
                      <w:bCs/>
                      <w:sz w:val="22"/>
                      <w:szCs w:val="22"/>
                      <w:lang w:val="es-AR"/>
                    </w:rPr>
                    <w:t xml:space="preserve"> </w:t>
                  </w:r>
                  <w:proofErr w:type="spellStart"/>
                  <w:r w:rsidRPr="001169B0">
                    <w:rPr>
                      <w:b/>
                      <w:bCs/>
                      <w:sz w:val="22"/>
                      <w:szCs w:val="22"/>
                      <w:lang w:val="es-AR"/>
                    </w:rPr>
                    <w:t>Chain</w:t>
                  </w:r>
                  <w:proofErr w:type="spellEnd"/>
                  <w:r w:rsidRPr="001169B0">
                    <w:rPr>
                      <w:b/>
                      <w:bCs/>
                      <w:sz w:val="22"/>
                      <w:szCs w:val="22"/>
                      <w:lang w:val="es-AR"/>
                    </w:rPr>
                    <w:t xml:space="preserve"> </w:t>
                  </w:r>
                </w:p>
                <w:p w14:paraId="4FF25544" w14:textId="089AF3A8" w:rsidR="00760DAE" w:rsidRPr="001169B0" w:rsidRDefault="00760DAE" w:rsidP="001169B0">
                  <w:pPr>
                    <w:rPr>
                      <w:sz w:val="22"/>
                      <w:szCs w:val="22"/>
                      <w:lang w:val="es-AR"/>
                    </w:rPr>
                  </w:pPr>
                  <w:proofErr w:type="spellStart"/>
                  <w:r w:rsidRPr="001169B0">
                    <w:rPr>
                      <w:b/>
                      <w:bCs/>
                      <w:sz w:val="22"/>
                      <w:szCs w:val="22"/>
                      <w:lang w:val="es-AR"/>
                    </w:rPr>
                    <w:t>Scoreboa</w:t>
                  </w:r>
                  <w:r w:rsidR="005D4189">
                    <w:rPr>
                      <w:b/>
                      <w:bCs/>
                      <w:sz w:val="22"/>
                      <w:szCs w:val="22"/>
                      <w:lang w:val="es-AR"/>
                    </w:rPr>
                    <w:t>rd</w:t>
                  </w:r>
                  <w:proofErr w:type="spellEnd"/>
                </w:p>
                <w:p w14:paraId="1EBDF177" w14:textId="77777777" w:rsidR="00760DAE" w:rsidRPr="001169B0" w:rsidRDefault="00760DAE" w:rsidP="001169B0">
                  <w:pPr>
                    <w:rPr>
                      <w:sz w:val="22"/>
                      <w:szCs w:val="22"/>
                      <w:lang w:val="es-AR"/>
                    </w:rPr>
                  </w:pPr>
                  <w:r w:rsidRPr="001169B0">
                    <w:rPr>
                      <w:b/>
                      <w:bCs/>
                      <w:sz w:val="22"/>
                      <w:szCs w:val="22"/>
                      <w:lang w:val="es-AR"/>
                    </w:rPr>
                    <w:t xml:space="preserve">    </w:t>
                  </w:r>
                  <w:r w:rsidRPr="001169B0">
                    <w:rPr>
                      <w:sz w:val="22"/>
                      <w:szCs w:val="22"/>
                      <w:lang w:val="es-AR"/>
                    </w:rPr>
                    <w:t>(Lev, 2000)</w:t>
                  </w:r>
                </w:p>
              </w:tc>
            </w:tr>
            <w:tr w:rsidR="00760DAE" w:rsidRPr="001169B0" w14:paraId="6DA8FE54" w14:textId="77777777" w:rsidTr="00D12EC2">
              <w:trPr>
                <w:trHeight w:val="974"/>
              </w:trPr>
              <w:tc>
                <w:tcPr>
                  <w:tcW w:w="5920" w:type="dxa"/>
                  <w:shd w:val="clear" w:color="auto" w:fill="auto"/>
                  <w:tcMar>
                    <w:top w:w="15" w:type="dxa"/>
                    <w:left w:w="26" w:type="dxa"/>
                    <w:bottom w:w="0" w:type="dxa"/>
                    <w:right w:w="26" w:type="dxa"/>
                  </w:tcMar>
                </w:tcPr>
                <w:p w14:paraId="2B47C960" w14:textId="77777777" w:rsidR="00760DAE" w:rsidRPr="001169B0" w:rsidRDefault="00760DAE" w:rsidP="001169B0">
                  <w:pPr>
                    <w:rPr>
                      <w:sz w:val="22"/>
                      <w:szCs w:val="22"/>
                      <w:lang w:val="es-AR"/>
                    </w:rPr>
                  </w:pPr>
                  <w:r w:rsidRPr="001169B0">
                    <w:rPr>
                      <w:b/>
                      <w:bCs/>
                      <w:sz w:val="22"/>
                      <w:szCs w:val="22"/>
                      <w:lang w:val="es-AR"/>
                    </w:rPr>
                    <w:t xml:space="preserve">Directrices </w:t>
                  </w:r>
                  <w:proofErr w:type="spellStart"/>
                  <w:r w:rsidRPr="001169B0">
                    <w:rPr>
                      <w:b/>
                      <w:bCs/>
                      <w:sz w:val="22"/>
                      <w:szCs w:val="22"/>
                      <w:lang w:val="es-AR"/>
                    </w:rPr>
                    <w:t>Meritum</w:t>
                  </w:r>
                  <w:proofErr w:type="spellEnd"/>
                </w:p>
                <w:p w14:paraId="682F7DF0" w14:textId="77777777" w:rsidR="001169B0" w:rsidRDefault="001169B0" w:rsidP="001169B0">
                  <w:pPr>
                    <w:rPr>
                      <w:sz w:val="22"/>
                      <w:szCs w:val="22"/>
                      <w:lang w:val="es-AR"/>
                    </w:rPr>
                  </w:pPr>
                  <w:r>
                    <w:rPr>
                      <w:sz w:val="22"/>
                      <w:szCs w:val="22"/>
                      <w:lang w:val="es-AR"/>
                    </w:rPr>
                    <w:t xml:space="preserve">    (</w:t>
                  </w:r>
                  <w:proofErr w:type="spellStart"/>
                  <w:r>
                    <w:rPr>
                      <w:sz w:val="22"/>
                      <w:szCs w:val="22"/>
                      <w:lang w:val="es-AR"/>
                    </w:rPr>
                    <w:t>Cañibano</w:t>
                  </w:r>
                  <w:proofErr w:type="spellEnd"/>
                  <w:r>
                    <w:rPr>
                      <w:sz w:val="22"/>
                      <w:szCs w:val="22"/>
                      <w:lang w:val="es-AR"/>
                    </w:rPr>
                    <w:t xml:space="preserve"> et al.,</w:t>
                  </w:r>
                </w:p>
                <w:p w14:paraId="7C052D55" w14:textId="3CE2E9C8" w:rsidR="00760DAE" w:rsidRPr="001169B0" w:rsidRDefault="00760DAE" w:rsidP="001169B0">
                  <w:pPr>
                    <w:rPr>
                      <w:sz w:val="22"/>
                      <w:szCs w:val="22"/>
                      <w:lang w:val="es-AR"/>
                    </w:rPr>
                  </w:pPr>
                  <w:r w:rsidRPr="001169B0">
                    <w:rPr>
                      <w:sz w:val="22"/>
                      <w:szCs w:val="22"/>
                      <w:lang w:val="es-AR"/>
                    </w:rPr>
                    <w:t>2002)</w:t>
                  </w:r>
                </w:p>
              </w:tc>
            </w:tr>
            <w:tr w:rsidR="00760DAE" w:rsidRPr="001169B0" w14:paraId="0A1A7564" w14:textId="77777777" w:rsidTr="00D12EC2">
              <w:trPr>
                <w:trHeight w:val="974"/>
              </w:trPr>
              <w:tc>
                <w:tcPr>
                  <w:tcW w:w="5920" w:type="dxa"/>
                  <w:shd w:val="clear" w:color="auto" w:fill="auto"/>
                  <w:tcMar>
                    <w:top w:w="15" w:type="dxa"/>
                    <w:left w:w="26" w:type="dxa"/>
                    <w:bottom w:w="0" w:type="dxa"/>
                    <w:right w:w="26" w:type="dxa"/>
                  </w:tcMar>
                </w:tcPr>
                <w:p w14:paraId="0731BE73" w14:textId="77777777" w:rsidR="00760DAE" w:rsidRPr="001169B0" w:rsidRDefault="00760DAE" w:rsidP="001169B0">
                  <w:pPr>
                    <w:rPr>
                      <w:sz w:val="22"/>
                      <w:szCs w:val="22"/>
                      <w:lang w:val="es-AR"/>
                    </w:rPr>
                  </w:pPr>
                  <w:r w:rsidRPr="001169B0">
                    <w:rPr>
                      <w:b/>
                      <w:bCs/>
                      <w:sz w:val="22"/>
                      <w:szCs w:val="22"/>
                      <w:lang w:val="es-AR"/>
                    </w:rPr>
                    <w:t>Guías danesas</w:t>
                  </w:r>
                </w:p>
                <w:p w14:paraId="497A572C" w14:textId="77777777" w:rsidR="001169B0" w:rsidRDefault="00760DAE" w:rsidP="001169B0">
                  <w:pPr>
                    <w:rPr>
                      <w:sz w:val="22"/>
                      <w:szCs w:val="22"/>
                      <w:lang w:val="es-AR"/>
                    </w:rPr>
                  </w:pPr>
                  <w:r w:rsidRPr="001169B0">
                    <w:rPr>
                      <w:b/>
                      <w:bCs/>
                      <w:sz w:val="22"/>
                      <w:szCs w:val="22"/>
                      <w:lang w:val="es-AR"/>
                    </w:rPr>
                    <w:t xml:space="preserve">    </w:t>
                  </w:r>
                  <w:r w:rsidRPr="001169B0">
                    <w:rPr>
                      <w:sz w:val="22"/>
                      <w:szCs w:val="22"/>
                      <w:lang w:val="es-AR"/>
                    </w:rPr>
                    <w:t>(</w:t>
                  </w:r>
                  <w:proofErr w:type="spellStart"/>
                  <w:r w:rsidRPr="001169B0">
                    <w:rPr>
                      <w:sz w:val="22"/>
                      <w:szCs w:val="22"/>
                      <w:lang w:val="es-AR"/>
                    </w:rPr>
                    <w:t>Mouritzen</w:t>
                  </w:r>
                  <w:proofErr w:type="spellEnd"/>
                  <w:r w:rsidRPr="001169B0">
                    <w:rPr>
                      <w:sz w:val="22"/>
                      <w:szCs w:val="22"/>
                      <w:lang w:val="es-AR"/>
                    </w:rPr>
                    <w:t xml:space="preserve">, </w:t>
                  </w:r>
                  <w:proofErr w:type="spellStart"/>
                  <w:r w:rsidRPr="001169B0">
                    <w:rPr>
                      <w:sz w:val="22"/>
                      <w:szCs w:val="22"/>
                      <w:lang w:val="es-AR"/>
                    </w:rPr>
                    <w:t>Bukh</w:t>
                  </w:r>
                  <w:proofErr w:type="spellEnd"/>
                  <w:r w:rsidRPr="001169B0">
                    <w:rPr>
                      <w:sz w:val="22"/>
                      <w:szCs w:val="22"/>
                      <w:lang w:val="es-AR"/>
                    </w:rPr>
                    <w:t xml:space="preserve"> </w:t>
                  </w:r>
                </w:p>
                <w:p w14:paraId="1A6404D7" w14:textId="3D83DFDA" w:rsidR="00760DAE" w:rsidRPr="001169B0" w:rsidRDefault="00760DAE" w:rsidP="001169B0">
                  <w:pPr>
                    <w:rPr>
                      <w:sz w:val="22"/>
                      <w:szCs w:val="22"/>
                      <w:lang w:val="es-AR"/>
                    </w:rPr>
                  </w:pPr>
                  <w:r w:rsidRPr="001169B0">
                    <w:rPr>
                      <w:sz w:val="22"/>
                      <w:szCs w:val="22"/>
                      <w:lang w:val="es-AR"/>
                    </w:rPr>
                    <w:t>et al., 2003)</w:t>
                  </w:r>
                </w:p>
              </w:tc>
            </w:tr>
          </w:tbl>
          <w:p w14:paraId="3416232B" w14:textId="77777777" w:rsidR="00760DAE" w:rsidRPr="001169B0" w:rsidRDefault="00760DAE" w:rsidP="001169B0">
            <w:pPr>
              <w:rPr>
                <w:sz w:val="22"/>
                <w:szCs w:val="22"/>
                <w:lang w:val="en-US"/>
              </w:rPr>
            </w:pPr>
          </w:p>
        </w:tc>
      </w:tr>
    </w:tbl>
    <w:p w14:paraId="3756A4EB" w14:textId="0EAF1C97" w:rsidR="00760DAE" w:rsidRDefault="00760DAE" w:rsidP="00760DAE">
      <w:pPr>
        <w:spacing w:before="60"/>
        <w:jc w:val="right"/>
        <w:rPr>
          <w:szCs w:val="24"/>
        </w:rPr>
      </w:pPr>
      <w:r w:rsidRPr="00CA0DE8">
        <w:rPr>
          <w:szCs w:val="24"/>
        </w:rPr>
        <w:t xml:space="preserve">Fuente: Ficco </w:t>
      </w:r>
      <w:r w:rsidR="00A764A2">
        <w:rPr>
          <w:szCs w:val="24"/>
        </w:rPr>
        <w:t>(</w:t>
      </w:r>
      <w:r w:rsidRPr="00CA0DE8">
        <w:rPr>
          <w:szCs w:val="24"/>
        </w:rPr>
        <w:t>2020</w:t>
      </w:r>
      <w:r w:rsidR="00A764A2">
        <w:rPr>
          <w:szCs w:val="24"/>
        </w:rPr>
        <w:t>)</w:t>
      </w:r>
      <w:r>
        <w:rPr>
          <w:szCs w:val="24"/>
        </w:rPr>
        <w:t xml:space="preserve"> y elaboración propia</w:t>
      </w:r>
    </w:p>
    <w:p w14:paraId="39B57046" w14:textId="432FD73B" w:rsidR="00472CE4" w:rsidRPr="00B8592D" w:rsidRDefault="00472CE4" w:rsidP="00472CE4">
      <w:pPr>
        <w:spacing w:line="360" w:lineRule="auto"/>
        <w:jc w:val="both"/>
        <w:rPr>
          <w:szCs w:val="24"/>
          <w:lang w:val="es-AR"/>
        </w:rPr>
      </w:pPr>
    </w:p>
    <w:p w14:paraId="5D3FAF08" w14:textId="0FC0AFCF" w:rsidR="001320EE" w:rsidRPr="00472CE4" w:rsidRDefault="00472CE4" w:rsidP="00472CE4">
      <w:pPr>
        <w:spacing w:line="360" w:lineRule="auto"/>
        <w:jc w:val="both"/>
        <w:rPr>
          <w:szCs w:val="24"/>
        </w:rPr>
      </w:pPr>
      <w:r w:rsidRPr="00472CE4">
        <w:rPr>
          <w:szCs w:val="24"/>
        </w:rPr>
        <w:t xml:space="preserve">En el siguiente epígrafe nos concentramos en tres de esos métodos: el Navegador </w:t>
      </w:r>
      <w:proofErr w:type="spellStart"/>
      <w:r w:rsidRPr="00472CE4">
        <w:rPr>
          <w:szCs w:val="24"/>
        </w:rPr>
        <w:t>Skandia</w:t>
      </w:r>
      <w:proofErr w:type="spellEnd"/>
      <w:r w:rsidRPr="00472CE4">
        <w:rPr>
          <w:szCs w:val="24"/>
        </w:rPr>
        <w:t>, el Coeficiente de Valor Agregado Intelectual (</w:t>
      </w:r>
      <w:proofErr w:type="spellStart"/>
      <w:r w:rsidRPr="001169B0">
        <w:rPr>
          <w:i/>
          <w:szCs w:val="24"/>
        </w:rPr>
        <w:t>Value</w:t>
      </w:r>
      <w:proofErr w:type="spellEnd"/>
      <w:r w:rsidRPr="001169B0">
        <w:rPr>
          <w:i/>
          <w:szCs w:val="24"/>
        </w:rPr>
        <w:t xml:space="preserve"> </w:t>
      </w:r>
      <w:proofErr w:type="spellStart"/>
      <w:r w:rsidRPr="001169B0">
        <w:rPr>
          <w:i/>
          <w:szCs w:val="24"/>
        </w:rPr>
        <w:t>Added</w:t>
      </w:r>
      <w:proofErr w:type="spellEnd"/>
      <w:r w:rsidRPr="001169B0">
        <w:rPr>
          <w:i/>
          <w:szCs w:val="24"/>
        </w:rPr>
        <w:t xml:space="preserve"> Intelectual </w:t>
      </w:r>
      <w:proofErr w:type="spellStart"/>
      <w:r w:rsidRPr="001169B0">
        <w:rPr>
          <w:i/>
          <w:szCs w:val="24"/>
        </w:rPr>
        <w:t>Coefficient</w:t>
      </w:r>
      <w:proofErr w:type="spellEnd"/>
      <w:r w:rsidRPr="00472CE4">
        <w:rPr>
          <w:szCs w:val="24"/>
        </w:rPr>
        <w:t xml:space="preserve"> - VAIC) y el Valor Económico Agregado (</w:t>
      </w:r>
      <w:proofErr w:type="spellStart"/>
      <w:r w:rsidRPr="001169B0">
        <w:rPr>
          <w:i/>
          <w:szCs w:val="24"/>
        </w:rPr>
        <w:t>Economic</w:t>
      </w:r>
      <w:proofErr w:type="spellEnd"/>
      <w:r w:rsidRPr="001169B0">
        <w:rPr>
          <w:i/>
          <w:szCs w:val="24"/>
        </w:rPr>
        <w:t xml:space="preserve"> </w:t>
      </w:r>
      <w:proofErr w:type="spellStart"/>
      <w:r w:rsidRPr="001169B0">
        <w:rPr>
          <w:i/>
          <w:szCs w:val="24"/>
        </w:rPr>
        <w:t>Value</w:t>
      </w:r>
      <w:proofErr w:type="spellEnd"/>
      <w:r w:rsidRPr="001169B0">
        <w:rPr>
          <w:i/>
          <w:szCs w:val="24"/>
        </w:rPr>
        <w:t xml:space="preserve"> </w:t>
      </w:r>
      <w:proofErr w:type="spellStart"/>
      <w:r w:rsidRPr="001169B0">
        <w:rPr>
          <w:i/>
          <w:szCs w:val="24"/>
        </w:rPr>
        <w:t>Added</w:t>
      </w:r>
      <w:proofErr w:type="spellEnd"/>
      <w:r w:rsidRPr="00472CE4">
        <w:rPr>
          <w:szCs w:val="24"/>
        </w:rPr>
        <w:t xml:space="preserve"> - EVA), que son los que conforman el objeto de estudio en este trabajo.</w:t>
      </w:r>
    </w:p>
    <w:p w14:paraId="77B03641" w14:textId="70D5DC84" w:rsidR="00885463" w:rsidRDefault="00885463" w:rsidP="00885463">
      <w:pPr>
        <w:pStyle w:val="Default"/>
        <w:spacing w:line="360" w:lineRule="auto"/>
        <w:jc w:val="both"/>
        <w:rPr>
          <w:rFonts w:ascii="Arial" w:hAnsi="Arial" w:cs="Arial"/>
          <w:lang w:val="es-ES"/>
        </w:rPr>
      </w:pPr>
    </w:p>
    <w:p w14:paraId="5779A7B7" w14:textId="712409BE" w:rsidR="006D309E" w:rsidRDefault="006D309E" w:rsidP="00885463">
      <w:pPr>
        <w:pStyle w:val="Default"/>
        <w:spacing w:line="360" w:lineRule="auto"/>
        <w:jc w:val="both"/>
        <w:rPr>
          <w:rFonts w:ascii="Arial" w:hAnsi="Arial" w:cs="Arial"/>
          <w:lang w:val="es-ES"/>
        </w:rPr>
      </w:pPr>
    </w:p>
    <w:p w14:paraId="0E96BE4E" w14:textId="480F689D" w:rsidR="006D309E" w:rsidRDefault="006D309E" w:rsidP="00885463">
      <w:pPr>
        <w:pStyle w:val="Default"/>
        <w:spacing w:line="360" w:lineRule="auto"/>
        <w:jc w:val="both"/>
        <w:rPr>
          <w:rFonts w:ascii="Arial" w:hAnsi="Arial" w:cs="Arial"/>
          <w:lang w:val="es-ES"/>
        </w:rPr>
      </w:pPr>
    </w:p>
    <w:p w14:paraId="122D244F" w14:textId="68D692EF" w:rsidR="006D309E" w:rsidRDefault="006D309E" w:rsidP="00885463">
      <w:pPr>
        <w:pStyle w:val="Default"/>
        <w:spacing w:line="360" w:lineRule="auto"/>
        <w:jc w:val="both"/>
        <w:rPr>
          <w:rFonts w:ascii="Arial" w:hAnsi="Arial" w:cs="Arial"/>
          <w:lang w:val="es-ES"/>
        </w:rPr>
      </w:pPr>
    </w:p>
    <w:p w14:paraId="0ACFC96C" w14:textId="77777777" w:rsidR="006D309E" w:rsidRPr="00472CE4" w:rsidRDefault="006D309E" w:rsidP="00885463">
      <w:pPr>
        <w:pStyle w:val="Default"/>
        <w:spacing w:line="360" w:lineRule="auto"/>
        <w:jc w:val="both"/>
        <w:rPr>
          <w:rFonts w:ascii="Arial" w:hAnsi="Arial" w:cs="Arial"/>
          <w:lang w:val="es-ES"/>
        </w:rPr>
      </w:pPr>
    </w:p>
    <w:p w14:paraId="1A728B2E" w14:textId="3C736325" w:rsidR="00DB2849" w:rsidRDefault="00DB2849" w:rsidP="00DB2849">
      <w:pPr>
        <w:spacing w:line="360" w:lineRule="auto"/>
        <w:jc w:val="both"/>
        <w:rPr>
          <w:b/>
          <w:szCs w:val="24"/>
        </w:rPr>
      </w:pPr>
      <w:r w:rsidRPr="00CA0DE8">
        <w:rPr>
          <w:b/>
          <w:szCs w:val="24"/>
        </w:rPr>
        <w:lastRenderedPageBreak/>
        <w:t xml:space="preserve">3- El Navegador </w:t>
      </w:r>
      <w:proofErr w:type="spellStart"/>
      <w:r w:rsidRPr="00CA0DE8">
        <w:rPr>
          <w:b/>
          <w:szCs w:val="24"/>
        </w:rPr>
        <w:t>Skandia</w:t>
      </w:r>
      <w:proofErr w:type="spellEnd"/>
      <w:r w:rsidRPr="00CA0DE8">
        <w:rPr>
          <w:b/>
          <w:szCs w:val="24"/>
        </w:rPr>
        <w:t>, el Coeficiente de Valor Agregado Intelectual (VAIC) y el Valor Económico Agregado (EVA)</w:t>
      </w:r>
      <w:r w:rsidR="00AC7586" w:rsidRPr="00CA0DE8">
        <w:rPr>
          <w:b/>
          <w:szCs w:val="24"/>
        </w:rPr>
        <w:t xml:space="preserve"> </w:t>
      </w:r>
    </w:p>
    <w:p w14:paraId="11472151" w14:textId="77777777" w:rsidR="006D309E" w:rsidRPr="00CA0DE8" w:rsidRDefault="006D309E" w:rsidP="00DB2849">
      <w:pPr>
        <w:spacing w:line="360" w:lineRule="auto"/>
        <w:jc w:val="both"/>
        <w:rPr>
          <w:b/>
          <w:color w:val="FF0000"/>
          <w:szCs w:val="24"/>
        </w:rPr>
      </w:pPr>
    </w:p>
    <w:p w14:paraId="410CF320" w14:textId="58463A1D" w:rsidR="005D4189" w:rsidRDefault="005D4189" w:rsidP="005D4189">
      <w:pPr>
        <w:spacing w:line="360" w:lineRule="auto"/>
        <w:jc w:val="both"/>
      </w:pPr>
      <w:r w:rsidRPr="003E5FAE">
        <w:rPr>
          <w:b/>
          <w:sz w:val="22"/>
          <w:szCs w:val="22"/>
        </w:rPr>
        <w:t>3.1</w:t>
      </w:r>
      <w:r>
        <w:rPr>
          <w:sz w:val="22"/>
          <w:szCs w:val="22"/>
        </w:rPr>
        <w:t xml:space="preserve"> </w:t>
      </w:r>
      <w:r w:rsidR="009E4EF2">
        <w:rPr>
          <w:b/>
        </w:rPr>
        <w:t>Navegador</w:t>
      </w:r>
      <w:r w:rsidRPr="00E1664B">
        <w:rPr>
          <w:b/>
        </w:rPr>
        <w:t xml:space="preserve"> </w:t>
      </w:r>
      <w:proofErr w:type="spellStart"/>
      <w:r w:rsidRPr="00E1664B">
        <w:rPr>
          <w:b/>
        </w:rPr>
        <w:t>Skandia</w:t>
      </w:r>
      <w:proofErr w:type="spellEnd"/>
      <w:r>
        <w:t xml:space="preserve"> </w:t>
      </w:r>
    </w:p>
    <w:p w14:paraId="55A434ED" w14:textId="00537A90" w:rsidR="009E4EF2" w:rsidRDefault="005D4189" w:rsidP="000F297D">
      <w:pPr>
        <w:spacing w:line="360" w:lineRule="auto"/>
        <w:jc w:val="both"/>
      </w:pPr>
      <w:r>
        <w:t xml:space="preserve">El </w:t>
      </w:r>
      <w:r w:rsidR="009E4EF2">
        <w:t>Navegador</w:t>
      </w:r>
      <w:r>
        <w:t xml:space="preserve"> </w:t>
      </w:r>
      <w:proofErr w:type="spellStart"/>
      <w:r>
        <w:t>Skandia</w:t>
      </w:r>
      <w:proofErr w:type="spellEnd"/>
      <w:r w:rsidR="000F197F">
        <w:t xml:space="preserve"> se trata de uno de los modelos más usados por su capacidad para medir el </w:t>
      </w:r>
      <w:r w:rsidR="00167C0D">
        <w:t>CI</w:t>
      </w:r>
      <w:r w:rsidR="000F197F">
        <w:t xml:space="preserve"> y</w:t>
      </w:r>
      <w:r>
        <w:t xml:space="preserve"> </w:t>
      </w:r>
      <w:r w:rsidR="004E6390">
        <w:t xml:space="preserve">fue presentado por Leif </w:t>
      </w:r>
      <w:proofErr w:type="spellStart"/>
      <w:r w:rsidR="004E6390">
        <w:t>Edvinsson</w:t>
      </w:r>
      <w:proofErr w:type="spellEnd"/>
      <w:r w:rsidR="004E6390">
        <w:t xml:space="preserve"> y Michael S. Malone</w:t>
      </w:r>
      <w:r w:rsidR="00613822">
        <w:t xml:space="preserve"> </w:t>
      </w:r>
      <w:r w:rsidR="00334EE5">
        <w:t>e</w:t>
      </w:r>
      <w:r w:rsidR="000F197F">
        <w:t>n</w:t>
      </w:r>
      <w:r w:rsidR="00334EE5">
        <w:t xml:space="preserve"> función a un </w:t>
      </w:r>
      <w:r w:rsidR="00613822">
        <w:t xml:space="preserve">trabajo que </w:t>
      </w:r>
      <w:r w:rsidR="004E6390">
        <w:t xml:space="preserve">se encontraban </w:t>
      </w:r>
      <w:r w:rsidR="00613822">
        <w:t>desarrollando para</w:t>
      </w:r>
      <w:r>
        <w:t xml:space="preserve"> </w:t>
      </w:r>
      <w:r w:rsidR="004E6390">
        <w:t>una</w:t>
      </w:r>
      <w:r>
        <w:t xml:space="preserve"> compañía </w:t>
      </w:r>
      <w:r w:rsidR="004E6390">
        <w:t xml:space="preserve">de </w:t>
      </w:r>
      <w:r>
        <w:t>seguros y servicios financieros</w:t>
      </w:r>
      <w:r w:rsidR="004E6390">
        <w:t xml:space="preserve"> </w:t>
      </w:r>
      <w:r w:rsidR="000F197F">
        <w:t xml:space="preserve">de Suecia </w:t>
      </w:r>
      <w:r w:rsidR="004E6390">
        <w:t>llamada</w:t>
      </w:r>
      <w:r>
        <w:t xml:space="preserve"> </w:t>
      </w:r>
      <w:proofErr w:type="spellStart"/>
      <w:r>
        <w:t>Skandia</w:t>
      </w:r>
      <w:proofErr w:type="spellEnd"/>
      <w:r w:rsidR="004E6390">
        <w:t>,</w:t>
      </w:r>
      <w:r>
        <w:t xml:space="preserve"> de </w:t>
      </w:r>
      <w:r w:rsidR="009E4EF2">
        <w:t xml:space="preserve">donde proviene </w:t>
      </w:r>
      <w:r>
        <w:t>su nombre</w:t>
      </w:r>
      <w:r w:rsidR="004E6390">
        <w:t>.</w:t>
      </w:r>
      <w:r>
        <w:t xml:space="preserve"> </w:t>
      </w:r>
      <w:r w:rsidR="009E4EF2">
        <w:t xml:space="preserve">En la base del modelo </w:t>
      </w:r>
      <w:r w:rsidR="009E4EF2" w:rsidRPr="009E4EF2">
        <w:t>est</w:t>
      </w:r>
      <w:r w:rsidR="00E653A5">
        <w:t>aba</w:t>
      </w:r>
      <w:r w:rsidR="009E4EF2" w:rsidRPr="009E4EF2">
        <w:t xml:space="preserve"> la idea de que el verdadero valor del rendimiento de una empresa está en su capacidad de crear valor sostenible persiguiendo una visión de negocio y su estrategia resultante. Partiendo de esa estrategia se pueden determinar ciertos factores del éxito que es preciso maximizar. Esos factores a su vez se pueden agrupar en cuatro áreas distintas de enfoque</w:t>
      </w:r>
      <w:r w:rsidR="00E653A5">
        <w:t>: Financiera, Clientes, Procesos</w:t>
      </w:r>
      <w:r w:rsidR="00BC6F0E">
        <w:t>,</w:t>
      </w:r>
      <w:r w:rsidR="00E653A5">
        <w:t xml:space="preserve"> Renovación y desarrollo; y, a su vez, en una quinta área que es común: Humana.</w:t>
      </w:r>
      <w:r w:rsidR="00334EE5">
        <w:t xml:space="preserve"> (</w:t>
      </w:r>
      <w:proofErr w:type="spellStart"/>
      <w:r w:rsidR="00334EE5">
        <w:t>Edvinsson</w:t>
      </w:r>
      <w:proofErr w:type="spellEnd"/>
      <w:r w:rsidR="00334EE5">
        <w:t xml:space="preserve"> y Malone, 1999)</w:t>
      </w:r>
      <w:r w:rsidR="000F297D">
        <w:t>. Dentro de cada una de esas áreas se identifican numerosos indicadores y de la combinación de los mismos, surge el modelo integrado y dinámico que genera un informe que ayuda a la toma de decisiones, denominado Navegador.</w:t>
      </w:r>
    </w:p>
    <w:p w14:paraId="0AA1C768" w14:textId="1E247144" w:rsidR="000D5A89" w:rsidRDefault="000D5A89" w:rsidP="000D5A89">
      <w:pPr>
        <w:spacing w:line="360" w:lineRule="auto"/>
        <w:jc w:val="both"/>
      </w:pPr>
      <w:r>
        <w:t xml:space="preserve">Este tipo mejor equilibrado de contabilidad y presentación de informes da por resultado una descripción más sistemática de la capacidad y potencial de la empresa para transformar el </w:t>
      </w:r>
      <w:r w:rsidR="00167C0D">
        <w:t>CI</w:t>
      </w:r>
      <w:r>
        <w:t xml:space="preserve"> en capital financiero (</w:t>
      </w:r>
      <w:proofErr w:type="spellStart"/>
      <w:r>
        <w:t>Edvinsson</w:t>
      </w:r>
      <w:proofErr w:type="spellEnd"/>
      <w:r>
        <w:t xml:space="preserve"> y Malone, 1999).  </w:t>
      </w:r>
    </w:p>
    <w:p w14:paraId="5D1BAA02" w14:textId="7B95B613" w:rsidR="000D5A89" w:rsidRDefault="005B7C6A" w:rsidP="005B7C6A">
      <w:pPr>
        <w:spacing w:line="360" w:lineRule="auto"/>
        <w:jc w:val="both"/>
      </w:pPr>
      <w:r>
        <w:t xml:space="preserve">Según </w:t>
      </w:r>
      <w:proofErr w:type="spellStart"/>
      <w:r w:rsidR="005D4189">
        <w:t>Bontis</w:t>
      </w:r>
      <w:proofErr w:type="spellEnd"/>
      <w:r w:rsidR="005D4189">
        <w:t xml:space="preserve"> (2001), el modelo </w:t>
      </w:r>
      <w:proofErr w:type="spellStart"/>
      <w:r w:rsidR="005D4189">
        <w:t>Navigator</w:t>
      </w:r>
      <w:proofErr w:type="spellEnd"/>
      <w:r w:rsidR="005D4189">
        <w:t xml:space="preserve"> utiliza 112 índices los cuales emplean conteos directos, montos en dólares, porcentajes e incluso resultados de encuestas. También indica que </w:t>
      </w:r>
      <w:proofErr w:type="spellStart"/>
      <w:r w:rsidR="005D4189">
        <w:t>Edvinsson</w:t>
      </w:r>
      <w:proofErr w:type="spellEnd"/>
      <w:r w:rsidR="005D4189">
        <w:t xml:space="preserve"> y Malone fomentan que los conteos directos se comparen con otros conteos directos para producir proporciones o transformarse en dinero, dejando s</w:t>
      </w:r>
      <w:r w:rsidR="00167C0D">
        <w:t>ó</w:t>
      </w:r>
      <w:r w:rsidR="005D4189">
        <w:t xml:space="preserve">lo dos tipos de medición. Las medidas monetarias se combinan utilizando una ponderación predeterminada para producir un valor de </w:t>
      </w:r>
      <w:r w:rsidR="00167C0D">
        <w:t>CI</w:t>
      </w:r>
      <w:r w:rsidR="005D4189">
        <w:t xml:space="preserve"> total para la organización. Los porcentajes, que pueden considerarse medidas de incompletitud, se pueden combinar para producir el coeficiente de eficiencia de </w:t>
      </w:r>
      <w:r w:rsidR="00167C0D">
        <w:t>CI</w:t>
      </w:r>
      <w:r w:rsidR="005D4189">
        <w:t xml:space="preserve"> que captura la velocidad, la posición y la dirección de la organización</w:t>
      </w:r>
      <w:r w:rsidR="00717CA1">
        <w:t xml:space="preserve"> (Cayetano</w:t>
      </w:r>
      <w:r w:rsidR="000D5A89">
        <w:t xml:space="preserve"> y Saavedra, 2020)</w:t>
      </w:r>
      <w:r w:rsidR="005D4189">
        <w:t xml:space="preserve">. </w:t>
      </w:r>
    </w:p>
    <w:p w14:paraId="0494B2CE" w14:textId="385EB54E" w:rsidR="005D4189" w:rsidRDefault="00946E41" w:rsidP="005B7C6A">
      <w:pPr>
        <w:spacing w:line="360" w:lineRule="auto"/>
        <w:jc w:val="both"/>
      </w:pPr>
      <w:r>
        <w:t xml:space="preserve">El modelo </w:t>
      </w:r>
      <w:proofErr w:type="spellStart"/>
      <w:r w:rsidR="005D4189">
        <w:t>Skandia</w:t>
      </w:r>
      <w:proofErr w:type="spellEnd"/>
      <w:r w:rsidR="005D4189">
        <w:t xml:space="preserve"> propone</w:t>
      </w:r>
      <w:r>
        <w:t xml:space="preserve"> una fórmula</w:t>
      </w:r>
      <w:r w:rsidR="005D4189">
        <w:t xml:space="preserve"> para medir el </w:t>
      </w:r>
      <w:r w:rsidR="00167C0D">
        <w:t>CI</w:t>
      </w:r>
      <w:r>
        <w:t>, a los efectos de poder contar con un indicador que pueda servir para realizar comparaciones entre las empresas:</w:t>
      </w:r>
    </w:p>
    <w:p w14:paraId="579C4899" w14:textId="77777777" w:rsidR="005D4189" w:rsidRDefault="005D4189" w:rsidP="005D4189">
      <w:pPr>
        <w:spacing w:line="360" w:lineRule="auto"/>
        <w:ind w:firstLine="708"/>
        <w:jc w:val="both"/>
      </w:pPr>
    </w:p>
    <w:p w14:paraId="1B893FDB" w14:textId="77777777" w:rsidR="000D5A89" w:rsidRDefault="005D4189" w:rsidP="000D5A89">
      <w:pPr>
        <w:spacing w:line="360" w:lineRule="auto"/>
        <w:ind w:firstLine="708"/>
        <w:jc w:val="center"/>
        <w:rPr>
          <w:b/>
        </w:rPr>
      </w:pPr>
      <w:r w:rsidRPr="000D5A89">
        <w:rPr>
          <w:b/>
        </w:rPr>
        <w:t>Capital Intelectual Organizativo= C</w:t>
      </w:r>
      <w:r w:rsidR="000D5A89">
        <w:rPr>
          <w:b/>
        </w:rPr>
        <w:t xml:space="preserve"> * i</w:t>
      </w:r>
    </w:p>
    <w:p w14:paraId="219A0587" w14:textId="621E6B2C" w:rsidR="005D4189" w:rsidRPr="000D5A89" w:rsidRDefault="005D4189" w:rsidP="000D5A89">
      <w:pPr>
        <w:spacing w:line="360" w:lineRule="auto"/>
        <w:ind w:firstLine="708"/>
        <w:jc w:val="center"/>
        <w:rPr>
          <w:b/>
        </w:rPr>
      </w:pPr>
      <w:r w:rsidRPr="000D5A89">
        <w:rPr>
          <w:b/>
        </w:rPr>
        <w:t>donde i</w:t>
      </w:r>
      <w:r w:rsidR="000D5A89">
        <w:rPr>
          <w:b/>
        </w:rPr>
        <w:t xml:space="preserve"> </w:t>
      </w:r>
      <w:r w:rsidRPr="000D5A89">
        <w:rPr>
          <w:b/>
        </w:rPr>
        <w:t>=</w:t>
      </w:r>
      <w:r w:rsidR="000D5A89">
        <w:rPr>
          <w:b/>
        </w:rPr>
        <w:t xml:space="preserve"> </w:t>
      </w:r>
      <w:r w:rsidRPr="000D5A89">
        <w:rPr>
          <w:b/>
        </w:rPr>
        <w:t>(n/x)</w:t>
      </w:r>
    </w:p>
    <w:p w14:paraId="2CD2CDC2" w14:textId="7AA4A709" w:rsidR="005D4189" w:rsidRDefault="00DD27A0" w:rsidP="005D4189">
      <w:pPr>
        <w:spacing w:line="360" w:lineRule="auto"/>
        <w:jc w:val="both"/>
      </w:pPr>
      <w:r>
        <w:t>s</w:t>
      </w:r>
      <w:r w:rsidR="00946E41">
        <w:t>iendo</w:t>
      </w:r>
      <w:r w:rsidR="005D4189">
        <w:t xml:space="preserve">: </w:t>
      </w:r>
    </w:p>
    <w:p w14:paraId="2E2C4A6B" w14:textId="36057DAA" w:rsidR="005D4189" w:rsidRDefault="005D4189" w:rsidP="005D4189">
      <w:pPr>
        <w:spacing w:line="360" w:lineRule="auto"/>
        <w:jc w:val="both"/>
      </w:pPr>
      <w:r>
        <w:t xml:space="preserve">C: es el valor del </w:t>
      </w:r>
      <w:r w:rsidR="00167C0D">
        <w:t>CI</w:t>
      </w:r>
      <w:r w:rsidR="00DD27A0">
        <w:t xml:space="preserve"> en unidades monetarias</w:t>
      </w:r>
    </w:p>
    <w:p w14:paraId="742FB486" w14:textId="26056154" w:rsidR="005D4189" w:rsidRDefault="005D4189" w:rsidP="005D4189">
      <w:pPr>
        <w:spacing w:line="360" w:lineRule="auto"/>
        <w:jc w:val="both"/>
      </w:pPr>
      <w:r>
        <w:t>i: es el coeficiente de eficiencia con que la organización está utilizando d</w:t>
      </w:r>
      <w:r w:rsidR="00DD27A0">
        <w:t>icho capital</w:t>
      </w:r>
    </w:p>
    <w:p w14:paraId="652D67B9" w14:textId="3F29972F" w:rsidR="005D4189" w:rsidRDefault="005D4189" w:rsidP="005D4189">
      <w:pPr>
        <w:spacing w:line="360" w:lineRule="auto"/>
        <w:jc w:val="both"/>
      </w:pPr>
      <w:r>
        <w:lastRenderedPageBreak/>
        <w:t xml:space="preserve">n: es igual a la suma de los valores decimales de los nueve índices de eficiencia propuestos por </w:t>
      </w:r>
      <w:proofErr w:type="spellStart"/>
      <w:r>
        <w:t>Edvinsson</w:t>
      </w:r>
      <w:proofErr w:type="spellEnd"/>
      <w:r>
        <w:t xml:space="preserve"> y Malone</w:t>
      </w:r>
      <w:r w:rsidR="00DD27A0">
        <w:t xml:space="preserve"> (1997)</w:t>
      </w:r>
    </w:p>
    <w:p w14:paraId="19F1058B" w14:textId="77777777" w:rsidR="005D4189" w:rsidRDefault="005D4189" w:rsidP="005D4189">
      <w:pPr>
        <w:spacing w:line="360" w:lineRule="auto"/>
        <w:jc w:val="both"/>
      </w:pPr>
      <w:r>
        <w:t xml:space="preserve">x: es el número de esos índices </w:t>
      </w:r>
    </w:p>
    <w:p w14:paraId="23A8DDA3" w14:textId="77777777" w:rsidR="00E73338" w:rsidRDefault="00E73338" w:rsidP="005D4189">
      <w:pPr>
        <w:spacing w:line="360" w:lineRule="auto"/>
        <w:jc w:val="both"/>
      </w:pPr>
    </w:p>
    <w:p w14:paraId="3BFFFF0D" w14:textId="1BD89B78" w:rsidR="005B7C6A" w:rsidRDefault="00946E41" w:rsidP="005D4189">
      <w:pPr>
        <w:spacing w:line="360" w:lineRule="auto"/>
        <w:jc w:val="both"/>
      </w:pPr>
      <w:r>
        <w:t xml:space="preserve">Los factores de esta ecuación se obtienen a partir de los indicadores más relevantes o medibles desarrollados para cada uno de los cinco enfoques propuestos por el Navegador. Continuando con </w:t>
      </w:r>
      <w:proofErr w:type="spellStart"/>
      <w:r>
        <w:t>Edvinsson</w:t>
      </w:r>
      <w:proofErr w:type="spellEnd"/>
      <w:r>
        <w:t xml:space="preserve"> y Malone (1997), “</w:t>
      </w:r>
      <w:r w:rsidR="00283C03">
        <w:t>a</w:t>
      </w:r>
      <w:r>
        <w:t>sí como la variable absoluta (C) recalca el compromiso de la organización con el futuro, la variable eficiencia (i) relaciona estas afirmaciones en el comportamiento actual” (p. 133).</w:t>
      </w:r>
      <w:r w:rsidR="001F330C">
        <w:t xml:space="preserve"> </w:t>
      </w:r>
      <w:r w:rsidR="00167C0D">
        <w:t xml:space="preserve">“C” </w:t>
      </w:r>
      <w:r w:rsidR="001F330C">
        <w:t xml:space="preserve">es el valor máximo potencial de una inversión cuando se convierta en activo mientras que </w:t>
      </w:r>
      <w:r w:rsidR="00167C0D">
        <w:t>“</w:t>
      </w:r>
      <w:r w:rsidR="001F330C">
        <w:t>i</w:t>
      </w:r>
      <w:r w:rsidR="00167C0D">
        <w:t>”</w:t>
      </w:r>
      <w:r w:rsidR="001F330C">
        <w:t xml:space="preserve"> representa la probabilidad que tiene la empresa de alcanzarlo</w:t>
      </w:r>
      <w:r w:rsidR="007F7824">
        <w:t xml:space="preserve"> (Ordóñez de Pablos, 1999).</w:t>
      </w:r>
    </w:p>
    <w:p w14:paraId="6F7F64E0" w14:textId="7F7E90F2" w:rsidR="00283C03" w:rsidRDefault="007F7824" w:rsidP="005D4189">
      <w:pPr>
        <w:spacing w:line="360" w:lineRule="auto"/>
        <w:jc w:val="both"/>
      </w:pPr>
      <w:r>
        <w:t>El</w:t>
      </w:r>
      <w:r w:rsidR="00283C03">
        <w:t xml:space="preserve"> informe </w:t>
      </w:r>
      <w:r>
        <w:t xml:space="preserve">que arroja como producto el Navegador, </w:t>
      </w:r>
      <w:r w:rsidR="00283C03">
        <w:t xml:space="preserve">contribuye </w:t>
      </w:r>
      <w:r>
        <w:t>tanto a</w:t>
      </w:r>
      <w:r w:rsidR="00283C03">
        <w:t xml:space="preserve"> la eficiencia interna </w:t>
      </w:r>
      <w:r>
        <w:t xml:space="preserve">como a la </w:t>
      </w:r>
      <w:r w:rsidR="00283C03">
        <w:t xml:space="preserve">evaluación </w:t>
      </w:r>
      <w:r>
        <w:t xml:space="preserve">de </w:t>
      </w:r>
      <w:r w:rsidR="00283C03">
        <w:t xml:space="preserve">la futura competitividad de la empresa, </w:t>
      </w:r>
      <w:r>
        <w:t xml:space="preserve">información </w:t>
      </w:r>
      <w:r w:rsidR="00283C03">
        <w:t>útil para los accionistas e inversores potenciales</w:t>
      </w:r>
      <w:r>
        <w:t>.</w:t>
      </w:r>
    </w:p>
    <w:p w14:paraId="2B2DD739" w14:textId="77777777" w:rsidR="0031562B" w:rsidRDefault="0031562B" w:rsidP="005D4189">
      <w:pPr>
        <w:spacing w:line="360" w:lineRule="auto"/>
        <w:jc w:val="both"/>
        <w:rPr>
          <w:b/>
        </w:rPr>
      </w:pPr>
    </w:p>
    <w:p w14:paraId="3362CE96" w14:textId="1CBE85A3" w:rsidR="00613822" w:rsidRDefault="00DD7227" w:rsidP="005D4189">
      <w:pPr>
        <w:spacing w:line="360" w:lineRule="auto"/>
        <w:jc w:val="both"/>
      </w:pPr>
      <w:r>
        <w:rPr>
          <w:b/>
        </w:rPr>
        <w:t>3</w:t>
      </w:r>
      <w:r w:rsidR="005D4189" w:rsidRPr="009D6AA5">
        <w:rPr>
          <w:b/>
        </w:rPr>
        <w:t>.2 Modelo VAIC</w:t>
      </w:r>
      <w:r w:rsidR="005D4189">
        <w:t xml:space="preserve"> </w:t>
      </w:r>
    </w:p>
    <w:p w14:paraId="5C0EE61C" w14:textId="6F30B5F6" w:rsidR="005D4189" w:rsidRDefault="0052043C" w:rsidP="005D4189">
      <w:pPr>
        <w:spacing w:line="360" w:lineRule="auto"/>
        <w:jc w:val="both"/>
      </w:pPr>
      <w:r>
        <w:t xml:space="preserve">El modelo del coeficiente del </w:t>
      </w:r>
      <w:r w:rsidR="00B66FCC">
        <w:t xml:space="preserve">Valor Agregado Intelectual </w:t>
      </w:r>
      <w:r>
        <w:t xml:space="preserve">es un modelo desarrollado por </w:t>
      </w:r>
      <w:proofErr w:type="spellStart"/>
      <w:r>
        <w:t>Pulic</w:t>
      </w:r>
      <w:proofErr w:type="spellEnd"/>
      <w:r>
        <w:t xml:space="preserve"> en 1998, cuyo objetivo radica en encontrar una forma de medición adecuada, que fuera capaz de demostrar la cantidad de valor que ha sido creado y lo productivo que es el CI en todos los niveles de la actividad empresarial, en los procesos de negocio o en segmentos de la sociedad (Pardo-Cueva, Armas y </w:t>
      </w:r>
      <w:proofErr w:type="spellStart"/>
      <w:r>
        <w:t>Higuerey</w:t>
      </w:r>
      <w:proofErr w:type="spellEnd"/>
      <w:r>
        <w:t xml:space="preserve">, 2018). </w:t>
      </w:r>
      <w:r w:rsidR="00427E7D">
        <w:t xml:space="preserve">Por medio de este </w:t>
      </w:r>
      <w:r w:rsidR="0021497F" w:rsidRPr="0047239E">
        <w:t>método</w:t>
      </w:r>
      <w:r w:rsidR="00617D26">
        <w:t>,</w:t>
      </w:r>
      <w:r w:rsidR="0021497F" w:rsidRPr="0047239E">
        <w:t xml:space="preserve"> se puede medir y supervisar la eficiencia</w:t>
      </w:r>
      <w:r w:rsidR="00D779A4">
        <w:t xml:space="preserve"> del CI</w:t>
      </w:r>
      <w:r w:rsidR="0021497F" w:rsidRPr="0047239E">
        <w:t xml:space="preserve"> en la creación de valor en una empresa utilizando las cifras reportadas en la contabilidad, asociadas a cada componente del </w:t>
      </w:r>
      <w:r w:rsidR="002449EF">
        <w:t>CI</w:t>
      </w:r>
      <w:r w:rsidR="0021497F" w:rsidRPr="0047239E">
        <w:t xml:space="preserve"> y el capital empleado (capital físico y financiero), confirmando que la mayor eficiencia en la creación de valor se basa en el </w:t>
      </w:r>
      <w:r w:rsidR="002449EF">
        <w:t>CH</w:t>
      </w:r>
      <w:r w:rsidR="0021497F" w:rsidRPr="0047239E">
        <w:t>, como factor de creación de valor decisivo de los negocios modernos</w:t>
      </w:r>
      <w:r>
        <w:t xml:space="preserve"> </w:t>
      </w:r>
      <w:r w:rsidR="0021497F" w:rsidRPr="0047239E">
        <w:t>(</w:t>
      </w:r>
      <w:bookmarkStart w:id="1" w:name="baut0005"/>
      <w:r w:rsidR="0021497F">
        <w:fldChar w:fldCharType="begin"/>
      </w:r>
      <w:r w:rsidR="0021497F">
        <w:instrText xml:space="preserve"> HYPERLINK "https://www.sciencedirect.com/science/article/pii/S0186104216300602" \l "!" </w:instrText>
      </w:r>
      <w:r w:rsidR="0021497F">
        <w:fldChar w:fldCharType="separate"/>
      </w:r>
      <w:r w:rsidR="0021497F" w:rsidRPr="0047239E">
        <w:t>Villegas</w:t>
      </w:r>
      <w:r>
        <w:t xml:space="preserve">, </w:t>
      </w:r>
      <w:r w:rsidR="0021497F">
        <w:fldChar w:fldCharType="end"/>
      </w:r>
      <w:bookmarkStart w:id="2" w:name="baut0010"/>
      <w:bookmarkEnd w:id="1"/>
      <w:r w:rsidR="0021497F">
        <w:fldChar w:fldCharType="begin"/>
      </w:r>
      <w:r w:rsidR="0021497F">
        <w:instrText xml:space="preserve"> HYPERLINK "https://www.sciencedirect.com/science/article/pii/S0186104216300602" \l "!" </w:instrText>
      </w:r>
      <w:r w:rsidR="0021497F">
        <w:fldChar w:fldCharType="separate"/>
      </w:r>
      <w:r w:rsidR="0021497F" w:rsidRPr="0047239E">
        <w:t>Hernández</w:t>
      </w:r>
      <w:r>
        <w:t xml:space="preserve"> y Salazar</w:t>
      </w:r>
      <w:r w:rsidR="0021497F">
        <w:fldChar w:fldCharType="end"/>
      </w:r>
      <w:bookmarkEnd w:id="2"/>
      <w:r w:rsidR="0021497F">
        <w:t>, 2017)</w:t>
      </w:r>
      <w:r>
        <w:t>.</w:t>
      </w:r>
    </w:p>
    <w:p w14:paraId="38ACD3B1" w14:textId="1945CF6C" w:rsidR="00617D26" w:rsidRDefault="00617D26" w:rsidP="005D4189">
      <w:pPr>
        <w:spacing w:line="360" w:lineRule="auto"/>
        <w:jc w:val="both"/>
      </w:pPr>
      <w:r>
        <w:t xml:space="preserve">En el modelo VAIC, todo parte del valor agregado. Para lograr llegar a obtener el coeficiente intelectual de valor agregado es necesario tomar datos de los informes financieros que incluyan información sobre el </w:t>
      </w:r>
      <w:r w:rsidR="002449EF">
        <w:t>CI</w:t>
      </w:r>
      <w:r>
        <w:t xml:space="preserve"> y el capital empleado ya que de esta forma se puede obtener la eficiencia de cada uno de estos la cual llevará a determinar, a su vez, la eficiencia en la creación de valor (Cayetano y Saavedra, 2020). </w:t>
      </w:r>
      <w:r w:rsidR="00DD27A0">
        <w:t>La Figura 1 presenta, esquemáticamente, una descripción del modelo VAIC.</w:t>
      </w:r>
    </w:p>
    <w:p w14:paraId="0996164D" w14:textId="5DE24C3B" w:rsidR="00617D26" w:rsidRDefault="00617D26" w:rsidP="005D4189">
      <w:pPr>
        <w:spacing w:line="360" w:lineRule="auto"/>
        <w:jc w:val="both"/>
      </w:pPr>
    </w:p>
    <w:p w14:paraId="4D935F7B" w14:textId="3F62EBA7" w:rsidR="00617D26" w:rsidRDefault="00617D26" w:rsidP="005D4189">
      <w:pPr>
        <w:spacing w:line="360" w:lineRule="auto"/>
        <w:jc w:val="both"/>
      </w:pPr>
    </w:p>
    <w:p w14:paraId="50F73B9C" w14:textId="011AC148" w:rsidR="00DD27A0" w:rsidRDefault="00DD27A0" w:rsidP="005D4189">
      <w:pPr>
        <w:spacing w:line="360" w:lineRule="auto"/>
        <w:jc w:val="both"/>
      </w:pPr>
    </w:p>
    <w:p w14:paraId="7A75A08C" w14:textId="0EF0DC32" w:rsidR="00DD27A0" w:rsidRDefault="00DD27A0" w:rsidP="005D4189">
      <w:pPr>
        <w:spacing w:line="360" w:lineRule="auto"/>
        <w:jc w:val="both"/>
      </w:pPr>
    </w:p>
    <w:p w14:paraId="493C273B" w14:textId="46CFD570" w:rsidR="00DD27A0" w:rsidRDefault="00DD27A0" w:rsidP="005D4189">
      <w:pPr>
        <w:spacing w:line="360" w:lineRule="auto"/>
        <w:jc w:val="both"/>
      </w:pPr>
    </w:p>
    <w:p w14:paraId="30996A44" w14:textId="1B7E93C9" w:rsidR="00617D26" w:rsidRPr="00617D26" w:rsidRDefault="00617D26" w:rsidP="00264027">
      <w:pPr>
        <w:spacing w:line="360" w:lineRule="auto"/>
        <w:jc w:val="center"/>
        <w:rPr>
          <w:b/>
        </w:rPr>
      </w:pPr>
      <w:r w:rsidRPr="00617D26">
        <w:rPr>
          <w:b/>
        </w:rPr>
        <w:t>Figura 1</w:t>
      </w:r>
      <w:r w:rsidR="00DD27A0">
        <w:rPr>
          <w:b/>
        </w:rPr>
        <w:t>.</w:t>
      </w:r>
      <w:r w:rsidRPr="00617D26">
        <w:rPr>
          <w:b/>
        </w:rPr>
        <w:t xml:space="preserve"> Descripción de modelo VAIC</w:t>
      </w:r>
    </w:p>
    <w:p w14:paraId="429EAB65" w14:textId="764DF991" w:rsidR="005D4189" w:rsidRDefault="00617D26" w:rsidP="005D4189">
      <w:pPr>
        <w:spacing w:line="360" w:lineRule="auto"/>
        <w:jc w:val="both"/>
        <w:rPr>
          <w:sz w:val="22"/>
          <w:szCs w:val="22"/>
        </w:rPr>
      </w:pPr>
      <w:r>
        <w:rPr>
          <w:noProof/>
          <w:lang w:val="es-AR" w:eastAsia="es-AR"/>
        </w:rPr>
        <w:drawing>
          <wp:inline distT="0" distB="0" distL="0" distR="0" wp14:anchorId="286C24B7" wp14:editId="1EE83405">
            <wp:extent cx="5759450" cy="324993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3249930"/>
                    </a:xfrm>
                    <a:prstGeom prst="rect">
                      <a:avLst/>
                    </a:prstGeom>
                  </pic:spPr>
                </pic:pic>
              </a:graphicData>
            </a:graphic>
          </wp:inline>
        </w:drawing>
      </w:r>
    </w:p>
    <w:p w14:paraId="16FE977A" w14:textId="5444CC0A" w:rsidR="00617D26" w:rsidRDefault="00617D26" w:rsidP="00617D26">
      <w:pPr>
        <w:spacing w:line="360" w:lineRule="auto"/>
        <w:jc w:val="right"/>
      </w:pPr>
      <w:r>
        <w:t xml:space="preserve">Fuente: Cayetano y Saavedra </w:t>
      </w:r>
      <w:r w:rsidR="00DD27A0">
        <w:t>(2020)</w:t>
      </w:r>
    </w:p>
    <w:p w14:paraId="419D369D" w14:textId="77777777" w:rsidR="00617D26" w:rsidRDefault="00617D26" w:rsidP="005D4189">
      <w:pPr>
        <w:spacing w:line="360" w:lineRule="auto"/>
        <w:jc w:val="both"/>
      </w:pPr>
    </w:p>
    <w:p w14:paraId="65A4C938" w14:textId="51641933" w:rsidR="002A0F9C" w:rsidRDefault="002A0F9C" w:rsidP="005D4189">
      <w:pPr>
        <w:spacing w:line="360" w:lineRule="auto"/>
        <w:jc w:val="both"/>
      </w:pPr>
      <w:r>
        <w:t>Esta herramienta ha sido adecuada en un contexto de la economía actual, cuya explicación principal está inspirado en el conocimiento de los recursos humanos que transforman e incorporan conocimiento en productos y servicios que crean valor (</w:t>
      </w:r>
      <w:proofErr w:type="spellStart"/>
      <w:r>
        <w:t>Pulic</w:t>
      </w:r>
      <w:proofErr w:type="spellEnd"/>
      <w:r>
        <w:t xml:space="preserve">, 2008; </w:t>
      </w:r>
      <w:proofErr w:type="spellStart"/>
      <w:r>
        <w:t>Pulic</w:t>
      </w:r>
      <w:proofErr w:type="spellEnd"/>
      <w:r>
        <w:t xml:space="preserve">, 2000). La </w:t>
      </w:r>
      <w:r w:rsidR="0059193C">
        <w:t>fórmula</w:t>
      </w:r>
      <w:r>
        <w:t xml:space="preserve"> del VAIC, permite calcular la eficiencia del CI y de sus tres componentes básicos: </w:t>
      </w:r>
      <w:r w:rsidR="002449EF">
        <w:t>CH</w:t>
      </w:r>
      <w:r>
        <w:t xml:space="preserve">, </w:t>
      </w:r>
      <w:r w:rsidR="002449EF">
        <w:t>CE</w:t>
      </w:r>
      <w:r>
        <w:t xml:space="preserve"> y </w:t>
      </w:r>
      <w:r w:rsidR="002449EF">
        <w:t>CR</w:t>
      </w:r>
      <w:r>
        <w:t xml:space="preserve">; además, del capital empleado (capital físico y financiero), utilizando únicamente las cifras </w:t>
      </w:r>
      <w:r w:rsidR="00264027">
        <w:t>expresadas en los estados contables</w:t>
      </w:r>
      <w:r>
        <w:t xml:space="preserve"> (Villegas, Hernández y Salazar, 2017). </w:t>
      </w:r>
    </w:p>
    <w:bookmarkStart w:id="3" w:name="bbib0160"/>
    <w:p w14:paraId="757685C1" w14:textId="4321ABCB" w:rsidR="002164E4" w:rsidRDefault="002164E4" w:rsidP="00264027">
      <w:pPr>
        <w:pStyle w:val="NormalWeb"/>
        <w:spacing w:before="0" w:beforeAutospacing="0" w:after="0" w:afterAutospacing="0" w:line="360" w:lineRule="auto"/>
        <w:jc w:val="both"/>
        <w:rPr>
          <w:szCs w:val="20"/>
          <w:lang w:val="es-ES" w:eastAsia="es-ES"/>
        </w:rPr>
      </w:pPr>
      <w:r w:rsidRPr="00264027">
        <w:rPr>
          <w:szCs w:val="20"/>
          <w:lang w:val="es-ES" w:eastAsia="es-ES"/>
        </w:rPr>
        <w:fldChar w:fldCharType="begin"/>
      </w:r>
      <w:r w:rsidRPr="00264027">
        <w:rPr>
          <w:szCs w:val="20"/>
          <w:lang w:val="es-ES" w:eastAsia="es-ES"/>
        </w:rPr>
        <w:instrText xml:space="preserve"> HYPERLINK "https://www.sciencedirect.com/science/article/pii/S0186104216300602" \l "bib0160" </w:instrText>
      </w:r>
      <w:r w:rsidRPr="00264027">
        <w:rPr>
          <w:szCs w:val="20"/>
          <w:lang w:val="es-ES" w:eastAsia="es-ES"/>
        </w:rPr>
        <w:fldChar w:fldCharType="separate"/>
      </w:r>
      <w:proofErr w:type="spellStart"/>
      <w:r w:rsidRPr="00264027">
        <w:rPr>
          <w:szCs w:val="20"/>
          <w:lang w:val="es-ES" w:eastAsia="es-ES"/>
        </w:rPr>
        <w:t>Pulic</w:t>
      </w:r>
      <w:proofErr w:type="spellEnd"/>
      <w:r w:rsidRPr="00264027">
        <w:rPr>
          <w:szCs w:val="20"/>
          <w:lang w:val="es-ES" w:eastAsia="es-ES"/>
        </w:rPr>
        <w:t xml:space="preserve"> (2004)</w:t>
      </w:r>
      <w:r w:rsidRPr="00264027">
        <w:rPr>
          <w:szCs w:val="20"/>
          <w:lang w:val="es-ES" w:eastAsia="es-ES"/>
        </w:rPr>
        <w:fldChar w:fldCharType="end"/>
      </w:r>
      <w:r w:rsidRPr="00264027">
        <w:rPr>
          <w:szCs w:val="20"/>
          <w:lang w:val="es-ES" w:eastAsia="es-ES"/>
        </w:rPr>
        <w:t>, </w:t>
      </w:r>
      <w:bookmarkStart w:id="4" w:name="bbib0100"/>
      <w:proofErr w:type="spellStart"/>
      <w:r w:rsidRPr="00264027">
        <w:rPr>
          <w:szCs w:val="20"/>
          <w:lang w:val="es-ES" w:eastAsia="es-ES"/>
        </w:rPr>
        <w:fldChar w:fldCharType="begin"/>
      </w:r>
      <w:r w:rsidRPr="00264027">
        <w:rPr>
          <w:szCs w:val="20"/>
          <w:lang w:val="es-ES" w:eastAsia="es-ES"/>
        </w:rPr>
        <w:instrText xml:space="preserve"> HYPERLINK "https://www.sciencedirect.com/science/article/pii/S0186104216300602" \l "bib0100" </w:instrText>
      </w:r>
      <w:r w:rsidRPr="00264027">
        <w:rPr>
          <w:szCs w:val="20"/>
          <w:lang w:val="es-ES" w:eastAsia="es-ES"/>
        </w:rPr>
        <w:fldChar w:fldCharType="separate"/>
      </w:r>
      <w:r w:rsidRPr="00264027">
        <w:rPr>
          <w:szCs w:val="20"/>
          <w:lang w:val="es-ES" w:eastAsia="es-ES"/>
        </w:rPr>
        <w:t>Kujansivu</w:t>
      </w:r>
      <w:proofErr w:type="spellEnd"/>
      <w:r w:rsidRPr="00264027">
        <w:rPr>
          <w:szCs w:val="20"/>
          <w:lang w:val="es-ES" w:eastAsia="es-ES"/>
        </w:rPr>
        <w:t xml:space="preserve"> y </w:t>
      </w:r>
      <w:proofErr w:type="spellStart"/>
      <w:r w:rsidRPr="00264027">
        <w:rPr>
          <w:szCs w:val="20"/>
          <w:lang w:val="es-ES" w:eastAsia="es-ES"/>
        </w:rPr>
        <w:t>Lonnqvist</w:t>
      </w:r>
      <w:proofErr w:type="spellEnd"/>
      <w:r w:rsidRPr="00264027">
        <w:rPr>
          <w:szCs w:val="20"/>
          <w:lang w:val="es-ES" w:eastAsia="es-ES"/>
        </w:rPr>
        <w:t xml:space="preserve"> (2007)</w:t>
      </w:r>
      <w:r w:rsidRPr="00264027">
        <w:rPr>
          <w:szCs w:val="20"/>
          <w:lang w:val="es-ES" w:eastAsia="es-ES"/>
        </w:rPr>
        <w:fldChar w:fldCharType="end"/>
      </w:r>
      <w:r w:rsidRPr="00264027">
        <w:rPr>
          <w:szCs w:val="20"/>
          <w:lang w:val="es-ES" w:eastAsia="es-ES"/>
        </w:rPr>
        <w:t> y </w:t>
      </w:r>
      <w:bookmarkStart w:id="5" w:name="bbib0105"/>
      <w:proofErr w:type="spellStart"/>
      <w:r w:rsidRPr="00264027">
        <w:rPr>
          <w:szCs w:val="20"/>
          <w:lang w:val="es-ES" w:eastAsia="es-ES"/>
        </w:rPr>
        <w:fldChar w:fldCharType="begin"/>
      </w:r>
      <w:r w:rsidRPr="00264027">
        <w:rPr>
          <w:szCs w:val="20"/>
          <w:lang w:val="es-ES" w:eastAsia="es-ES"/>
        </w:rPr>
        <w:instrText xml:space="preserve"> HYPERLINK "https://www.sciencedirect.com/science/article/pii/S0186104216300602" \l "bib0105" </w:instrText>
      </w:r>
      <w:r w:rsidRPr="00264027">
        <w:rPr>
          <w:szCs w:val="20"/>
          <w:lang w:val="es-ES" w:eastAsia="es-ES"/>
        </w:rPr>
        <w:fldChar w:fldCharType="separate"/>
      </w:r>
      <w:r w:rsidRPr="00264027">
        <w:rPr>
          <w:szCs w:val="20"/>
          <w:lang w:val="es-ES" w:eastAsia="es-ES"/>
        </w:rPr>
        <w:t>Laing</w:t>
      </w:r>
      <w:proofErr w:type="spellEnd"/>
      <w:r w:rsidRPr="00264027">
        <w:rPr>
          <w:szCs w:val="20"/>
          <w:lang w:val="es-ES" w:eastAsia="es-ES"/>
        </w:rPr>
        <w:t>, Dunn y Hughes-Lucas (2010)</w:t>
      </w:r>
      <w:r w:rsidRPr="00264027">
        <w:rPr>
          <w:szCs w:val="20"/>
          <w:lang w:val="es-ES" w:eastAsia="es-ES"/>
        </w:rPr>
        <w:fldChar w:fldCharType="end"/>
      </w:r>
      <w:r w:rsidRPr="00264027">
        <w:rPr>
          <w:szCs w:val="20"/>
          <w:lang w:val="es-ES" w:eastAsia="es-ES"/>
        </w:rPr>
        <w:t> han estructurado metodológicamente 6 pasos para llegar al cálculo del VAIC</w:t>
      </w:r>
      <w:r w:rsidR="00DD27A0">
        <w:rPr>
          <w:szCs w:val="20"/>
          <w:lang w:val="es-ES" w:eastAsia="es-ES"/>
        </w:rPr>
        <w:t>, tal como se muestra en la Tabla 4.</w:t>
      </w:r>
    </w:p>
    <w:p w14:paraId="65817253" w14:textId="6A52A6B5" w:rsidR="00264027" w:rsidRDefault="00264027" w:rsidP="00264027">
      <w:pPr>
        <w:pStyle w:val="NormalWeb"/>
        <w:spacing w:before="0" w:beforeAutospacing="0" w:after="0" w:afterAutospacing="0" w:line="360" w:lineRule="auto"/>
        <w:jc w:val="both"/>
        <w:rPr>
          <w:szCs w:val="20"/>
          <w:lang w:val="es-ES" w:eastAsia="es-ES"/>
        </w:rPr>
      </w:pPr>
    </w:p>
    <w:p w14:paraId="7FD24F62" w14:textId="27D57CC2" w:rsidR="000E3B5B" w:rsidRDefault="000E3B5B" w:rsidP="00264027">
      <w:pPr>
        <w:pStyle w:val="NormalWeb"/>
        <w:spacing w:before="0" w:beforeAutospacing="0" w:after="0" w:afterAutospacing="0" w:line="360" w:lineRule="auto"/>
        <w:jc w:val="both"/>
        <w:rPr>
          <w:szCs w:val="20"/>
          <w:lang w:val="es-ES" w:eastAsia="es-ES"/>
        </w:rPr>
      </w:pPr>
    </w:p>
    <w:p w14:paraId="441FE522" w14:textId="36D06E3E" w:rsidR="000E3B5B" w:rsidRDefault="000E3B5B" w:rsidP="00264027">
      <w:pPr>
        <w:pStyle w:val="NormalWeb"/>
        <w:spacing w:before="0" w:beforeAutospacing="0" w:after="0" w:afterAutospacing="0" w:line="360" w:lineRule="auto"/>
        <w:jc w:val="both"/>
        <w:rPr>
          <w:szCs w:val="20"/>
          <w:lang w:val="es-ES" w:eastAsia="es-ES"/>
        </w:rPr>
      </w:pPr>
    </w:p>
    <w:p w14:paraId="75221CD5" w14:textId="204F849E" w:rsidR="000E3B5B" w:rsidRDefault="000E3B5B" w:rsidP="00264027">
      <w:pPr>
        <w:pStyle w:val="NormalWeb"/>
        <w:spacing w:before="0" w:beforeAutospacing="0" w:after="0" w:afterAutospacing="0" w:line="360" w:lineRule="auto"/>
        <w:jc w:val="both"/>
        <w:rPr>
          <w:szCs w:val="20"/>
          <w:lang w:val="es-ES" w:eastAsia="es-ES"/>
        </w:rPr>
      </w:pPr>
    </w:p>
    <w:p w14:paraId="259F7120" w14:textId="5B4CE2DD" w:rsidR="000E3B5B" w:rsidRDefault="000E3B5B" w:rsidP="00264027">
      <w:pPr>
        <w:pStyle w:val="NormalWeb"/>
        <w:spacing w:before="0" w:beforeAutospacing="0" w:after="0" w:afterAutospacing="0" w:line="360" w:lineRule="auto"/>
        <w:jc w:val="both"/>
        <w:rPr>
          <w:szCs w:val="20"/>
          <w:lang w:val="es-ES" w:eastAsia="es-ES"/>
        </w:rPr>
      </w:pPr>
    </w:p>
    <w:p w14:paraId="2FA82468" w14:textId="77777777" w:rsidR="000E3B5B" w:rsidRPr="00264027" w:rsidRDefault="000E3B5B" w:rsidP="00264027">
      <w:pPr>
        <w:pStyle w:val="NormalWeb"/>
        <w:spacing w:before="0" w:beforeAutospacing="0" w:after="0" w:afterAutospacing="0" w:line="360" w:lineRule="auto"/>
        <w:jc w:val="both"/>
        <w:rPr>
          <w:szCs w:val="20"/>
          <w:lang w:val="es-ES" w:eastAsia="es-ES"/>
        </w:rPr>
      </w:pPr>
    </w:p>
    <w:p w14:paraId="5EF630CD" w14:textId="1A6B1A74" w:rsidR="002164E4" w:rsidRPr="00264027" w:rsidRDefault="002164E4" w:rsidP="00264027">
      <w:pPr>
        <w:spacing w:line="360" w:lineRule="auto"/>
        <w:jc w:val="center"/>
        <w:rPr>
          <w:b/>
        </w:rPr>
      </w:pPr>
      <w:r w:rsidRPr="00264027">
        <w:rPr>
          <w:b/>
        </w:rPr>
        <w:lastRenderedPageBreak/>
        <w:t>Tabla 4</w:t>
      </w:r>
      <w:r w:rsidR="00DD27A0">
        <w:rPr>
          <w:b/>
        </w:rPr>
        <w:t>.</w:t>
      </w:r>
      <w:r w:rsidRPr="00264027">
        <w:rPr>
          <w:b/>
        </w:rPr>
        <w:t> Cálculo de VAI</w:t>
      </w:r>
      <w:r w:rsidR="00264027" w:rsidRPr="00264027">
        <w:rPr>
          <w:b/>
        </w:rPr>
        <w:t>C</w:t>
      </w:r>
      <w:r w:rsidR="008174AD">
        <w:rPr>
          <w:rStyle w:val="Refdenotaalpie"/>
          <w:b/>
        </w:rPr>
        <w:footnoteReference w:id="2"/>
      </w:r>
    </w:p>
    <w:tbl>
      <w:tblPr>
        <w:tblW w:w="9840" w:type="dxa"/>
        <w:tblBorders>
          <w:top w:val="single" w:sz="6" w:space="0" w:color="EBEBEB"/>
          <w:bottom w:val="single" w:sz="6" w:space="0" w:color="EBEBEB"/>
        </w:tblBorders>
        <w:tblCellMar>
          <w:left w:w="0" w:type="dxa"/>
          <w:right w:w="0" w:type="dxa"/>
        </w:tblCellMar>
        <w:tblLook w:val="04A0" w:firstRow="1" w:lastRow="0" w:firstColumn="1" w:lastColumn="0" w:noHBand="0" w:noVBand="1"/>
      </w:tblPr>
      <w:tblGrid>
        <w:gridCol w:w="619"/>
        <w:gridCol w:w="3677"/>
        <w:gridCol w:w="1875"/>
        <w:gridCol w:w="3669"/>
      </w:tblGrid>
      <w:tr w:rsidR="002164E4" w14:paraId="1FB28F9F" w14:textId="77777777" w:rsidTr="002164E4">
        <w:tc>
          <w:tcPr>
            <w:tcW w:w="0" w:type="auto"/>
            <w:vMerge w:val="restart"/>
            <w:tcBorders>
              <w:bottom w:val="nil"/>
              <w:right w:val="nil"/>
            </w:tcBorders>
            <w:tcMar>
              <w:top w:w="75" w:type="dxa"/>
              <w:left w:w="75" w:type="dxa"/>
              <w:bottom w:w="75" w:type="dxa"/>
              <w:right w:w="75" w:type="dxa"/>
            </w:tcMar>
            <w:vAlign w:val="center"/>
            <w:hideMark/>
          </w:tcPr>
          <w:p w14:paraId="25BB13B2" w14:textId="77777777" w:rsidR="002164E4" w:rsidRPr="00D21FB2" w:rsidRDefault="002164E4" w:rsidP="00D21FB2">
            <w:pPr>
              <w:jc w:val="center"/>
              <w:rPr>
                <w:sz w:val="20"/>
              </w:rPr>
            </w:pPr>
            <w:r w:rsidRPr="00D21FB2">
              <w:rPr>
                <w:sz w:val="20"/>
              </w:rPr>
              <w:t>Paso 1</w:t>
            </w:r>
          </w:p>
        </w:tc>
        <w:tc>
          <w:tcPr>
            <w:tcW w:w="0" w:type="auto"/>
            <w:vMerge w:val="restart"/>
            <w:tcBorders>
              <w:bottom w:val="nil"/>
              <w:right w:val="nil"/>
            </w:tcBorders>
            <w:tcMar>
              <w:top w:w="75" w:type="dxa"/>
              <w:left w:w="75" w:type="dxa"/>
              <w:bottom w:w="75" w:type="dxa"/>
              <w:right w:w="75" w:type="dxa"/>
            </w:tcMar>
            <w:vAlign w:val="center"/>
            <w:hideMark/>
          </w:tcPr>
          <w:p w14:paraId="14EF6ABC" w14:textId="77777777" w:rsidR="002164E4" w:rsidRPr="00D21FB2" w:rsidRDefault="002164E4">
            <w:pPr>
              <w:rPr>
                <w:sz w:val="20"/>
              </w:rPr>
            </w:pPr>
            <w:r w:rsidRPr="00D21FB2">
              <w:rPr>
                <w:sz w:val="20"/>
              </w:rPr>
              <w:t>Cálculo del valor añadido (VA)</w:t>
            </w:r>
          </w:p>
        </w:tc>
        <w:tc>
          <w:tcPr>
            <w:tcW w:w="0" w:type="auto"/>
            <w:tcBorders>
              <w:bottom w:val="nil"/>
              <w:right w:val="nil"/>
            </w:tcBorders>
            <w:tcMar>
              <w:top w:w="75" w:type="dxa"/>
              <w:left w:w="75" w:type="dxa"/>
              <w:bottom w:w="75" w:type="dxa"/>
              <w:right w:w="75" w:type="dxa"/>
            </w:tcMar>
            <w:vAlign w:val="center"/>
            <w:hideMark/>
          </w:tcPr>
          <w:p w14:paraId="3FDE6452" w14:textId="1A003BFE" w:rsidR="002164E4" w:rsidRPr="00D21FB2" w:rsidRDefault="002164E4">
            <w:pPr>
              <w:rPr>
                <w:sz w:val="20"/>
              </w:rPr>
            </w:pPr>
            <w:r w:rsidRPr="00D21FB2">
              <w:rPr>
                <w:sz w:val="20"/>
              </w:rPr>
              <w:t>F</w:t>
            </w:r>
            <w:r w:rsidR="00D21FB2">
              <w:rPr>
                <w:sz w:val="20"/>
              </w:rPr>
              <w:t>ó</w:t>
            </w:r>
            <w:r w:rsidRPr="00D21FB2">
              <w:rPr>
                <w:sz w:val="20"/>
              </w:rPr>
              <w:t>rmula</w:t>
            </w:r>
          </w:p>
        </w:tc>
        <w:tc>
          <w:tcPr>
            <w:tcW w:w="0" w:type="auto"/>
            <w:tcBorders>
              <w:bottom w:val="nil"/>
              <w:right w:val="nil"/>
            </w:tcBorders>
            <w:tcMar>
              <w:top w:w="75" w:type="dxa"/>
              <w:left w:w="75" w:type="dxa"/>
              <w:bottom w:w="75" w:type="dxa"/>
              <w:right w:w="75" w:type="dxa"/>
            </w:tcMar>
            <w:vAlign w:val="center"/>
            <w:hideMark/>
          </w:tcPr>
          <w:p w14:paraId="51BB7634" w14:textId="77777777" w:rsidR="002164E4" w:rsidRPr="00D21FB2" w:rsidRDefault="002164E4">
            <w:pPr>
              <w:rPr>
                <w:sz w:val="20"/>
              </w:rPr>
            </w:pPr>
            <w:r w:rsidRPr="00D21FB2">
              <w:rPr>
                <w:sz w:val="20"/>
              </w:rPr>
              <w:t>Variables</w:t>
            </w:r>
          </w:p>
        </w:tc>
      </w:tr>
      <w:tr w:rsidR="002164E4" w14:paraId="486F4409" w14:textId="77777777" w:rsidTr="002164E4">
        <w:tc>
          <w:tcPr>
            <w:tcW w:w="0" w:type="auto"/>
            <w:vMerge/>
            <w:tcBorders>
              <w:bottom w:val="nil"/>
              <w:right w:val="nil"/>
            </w:tcBorders>
            <w:vAlign w:val="center"/>
            <w:hideMark/>
          </w:tcPr>
          <w:p w14:paraId="203C7B5D" w14:textId="77777777" w:rsidR="002164E4" w:rsidRPr="00D21FB2" w:rsidRDefault="002164E4" w:rsidP="00D21FB2">
            <w:pPr>
              <w:jc w:val="center"/>
              <w:rPr>
                <w:sz w:val="20"/>
              </w:rPr>
            </w:pPr>
          </w:p>
        </w:tc>
        <w:tc>
          <w:tcPr>
            <w:tcW w:w="0" w:type="auto"/>
            <w:vMerge/>
            <w:tcBorders>
              <w:bottom w:val="nil"/>
              <w:right w:val="nil"/>
            </w:tcBorders>
            <w:vAlign w:val="center"/>
            <w:hideMark/>
          </w:tcPr>
          <w:p w14:paraId="4B5565E4" w14:textId="77777777" w:rsidR="002164E4" w:rsidRPr="00D21FB2" w:rsidRDefault="002164E4">
            <w:pPr>
              <w:rPr>
                <w:sz w:val="20"/>
              </w:rPr>
            </w:pPr>
          </w:p>
        </w:tc>
        <w:tc>
          <w:tcPr>
            <w:tcW w:w="0" w:type="auto"/>
            <w:tcBorders>
              <w:bottom w:val="nil"/>
              <w:right w:val="nil"/>
            </w:tcBorders>
            <w:tcMar>
              <w:top w:w="75" w:type="dxa"/>
              <w:left w:w="75" w:type="dxa"/>
              <w:bottom w:w="75" w:type="dxa"/>
              <w:right w:w="75" w:type="dxa"/>
            </w:tcMar>
            <w:vAlign w:val="center"/>
            <w:hideMark/>
          </w:tcPr>
          <w:p w14:paraId="2632C421" w14:textId="77777777" w:rsidR="002164E4" w:rsidRPr="00D21FB2" w:rsidRDefault="002164E4">
            <w:pPr>
              <w:rPr>
                <w:b/>
                <w:bCs/>
                <w:sz w:val="20"/>
              </w:rPr>
            </w:pPr>
            <w:r w:rsidRPr="00D21FB2">
              <w:rPr>
                <w:b/>
                <w:bCs/>
                <w:sz w:val="20"/>
              </w:rPr>
              <w:t>VA = IT−CV</w:t>
            </w:r>
          </w:p>
        </w:tc>
        <w:tc>
          <w:tcPr>
            <w:tcW w:w="0" w:type="auto"/>
            <w:tcBorders>
              <w:bottom w:val="nil"/>
              <w:right w:val="nil"/>
            </w:tcBorders>
            <w:tcMar>
              <w:top w:w="75" w:type="dxa"/>
              <w:left w:w="75" w:type="dxa"/>
              <w:bottom w:w="75" w:type="dxa"/>
              <w:right w:w="75" w:type="dxa"/>
            </w:tcMar>
            <w:vAlign w:val="center"/>
            <w:hideMark/>
          </w:tcPr>
          <w:p w14:paraId="049AF9D6" w14:textId="77777777" w:rsidR="002164E4" w:rsidRPr="00D21FB2" w:rsidRDefault="002164E4">
            <w:pPr>
              <w:rPr>
                <w:sz w:val="20"/>
              </w:rPr>
            </w:pPr>
            <w:r w:rsidRPr="00D21FB2">
              <w:rPr>
                <w:sz w:val="20"/>
              </w:rPr>
              <w:t>IT = ingresos totales</w:t>
            </w:r>
            <w:r w:rsidRPr="00D21FB2">
              <w:rPr>
                <w:sz w:val="20"/>
              </w:rPr>
              <w:br/>
              <w:t>CV = costos de ventas</w:t>
            </w:r>
          </w:p>
        </w:tc>
      </w:tr>
      <w:tr w:rsidR="002164E4" w14:paraId="0ADD93C2" w14:textId="77777777" w:rsidTr="002164E4">
        <w:tc>
          <w:tcPr>
            <w:tcW w:w="0" w:type="auto"/>
            <w:vMerge/>
            <w:tcBorders>
              <w:bottom w:val="nil"/>
              <w:right w:val="nil"/>
            </w:tcBorders>
            <w:vAlign w:val="center"/>
            <w:hideMark/>
          </w:tcPr>
          <w:p w14:paraId="6F91D712" w14:textId="77777777" w:rsidR="002164E4" w:rsidRPr="00D21FB2" w:rsidRDefault="002164E4" w:rsidP="00D21FB2">
            <w:pPr>
              <w:jc w:val="center"/>
              <w:rPr>
                <w:sz w:val="20"/>
              </w:rPr>
            </w:pPr>
          </w:p>
        </w:tc>
        <w:tc>
          <w:tcPr>
            <w:tcW w:w="0" w:type="auto"/>
            <w:tcBorders>
              <w:bottom w:val="nil"/>
              <w:right w:val="nil"/>
            </w:tcBorders>
            <w:tcMar>
              <w:top w:w="75" w:type="dxa"/>
              <w:left w:w="75" w:type="dxa"/>
              <w:bottom w:w="75" w:type="dxa"/>
              <w:right w:w="75" w:type="dxa"/>
            </w:tcMar>
            <w:vAlign w:val="center"/>
            <w:hideMark/>
          </w:tcPr>
          <w:p w14:paraId="48F4CA85" w14:textId="77777777" w:rsidR="002164E4" w:rsidRPr="00D21FB2" w:rsidRDefault="002164E4">
            <w:pPr>
              <w:rPr>
                <w:b/>
                <w:bCs/>
                <w:sz w:val="20"/>
              </w:rPr>
            </w:pPr>
            <w:r w:rsidRPr="00D21FB2">
              <w:rPr>
                <w:b/>
                <w:bCs/>
                <w:sz w:val="20"/>
              </w:rPr>
              <w:t>Fuente de consulta</w:t>
            </w:r>
          </w:p>
        </w:tc>
        <w:tc>
          <w:tcPr>
            <w:tcW w:w="0" w:type="auto"/>
            <w:gridSpan w:val="2"/>
            <w:tcBorders>
              <w:bottom w:val="nil"/>
              <w:right w:val="nil"/>
            </w:tcBorders>
            <w:tcMar>
              <w:top w:w="75" w:type="dxa"/>
              <w:left w:w="75" w:type="dxa"/>
              <w:bottom w:w="75" w:type="dxa"/>
              <w:right w:w="75" w:type="dxa"/>
            </w:tcMar>
            <w:vAlign w:val="center"/>
            <w:hideMark/>
          </w:tcPr>
          <w:p w14:paraId="720A2941" w14:textId="77777777" w:rsidR="002164E4" w:rsidRPr="00D21FB2" w:rsidRDefault="002164E4">
            <w:pPr>
              <w:rPr>
                <w:sz w:val="20"/>
              </w:rPr>
            </w:pPr>
            <w:r w:rsidRPr="00D21FB2">
              <w:rPr>
                <w:sz w:val="20"/>
              </w:rPr>
              <w:t>Estado de pérdidas y ganancias y las notas a los estados financieros</w:t>
            </w:r>
          </w:p>
        </w:tc>
      </w:tr>
      <w:tr w:rsidR="002164E4" w14:paraId="7CB206C3" w14:textId="77777777" w:rsidTr="002164E4">
        <w:tc>
          <w:tcPr>
            <w:tcW w:w="0" w:type="auto"/>
            <w:vMerge w:val="restart"/>
            <w:tcBorders>
              <w:bottom w:val="nil"/>
              <w:right w:val="nil"/>
            </w:tcBorders>
            <w:tcMar>
              <w:top w:w="75" w:type="dxa"/>
              <w:left w:w="75" w:type="dxa"/>
              <w:bottom w:w="75" w:type="dxa"/>
              <w:right w:w="75" w:type="dxa"/>
            </w:tcMar>
            <w:vAlign w:val="center"/>
            <w:hideMark/>
          </w:tcPr>
          <w:p w14:paraId="717A37BD" w14:textId="77777777" w:rsidR="002164E4" w:rsidRPr="00D21FB2" w:rsidRDefault="002164E4" w:rsidP="00D21FB2">
            <w:pPr>
              <w:jc w:val="center"/>
              <w:rPr>
                <w:sz w:val="20"/>
              </w:rPr>
            </w:pPr>
            <w:r w:rsidRPr="00D21FB2">
              <w:rPr>
                <w:sz w:val="20"/>
              </w:rPr>
              <w:t>Paso 2</w:t>
            </w:r>
          </w:p>
        </w:tc>
        <w:tc>
          <w:tcPr>
            <w:tcW w:w="0" w:type="auto"/>
            <w:vMerge w:val="restart"/>
            <w:tcBorders>
              <w:bottom w:val="nil"/>
              <w:right w:val="nil"/>
            </w:tcBorders>
            <w:tcMar>
              <w:top w:w="75" w:type="dxa"/>
              <w:left w:w="75" w:type="dxa"/>
              <w:bottom w:w="75" w:type="dxa"/>
              <w:right w:w="75" w:type="dxa"/>
            </w:tcMar>
            <w:vAlign w:val="center"/>
            <w:hideMark/>
          </w:tcPr>
          <w:p w14:paraId="78B94BB0" w14:textId="77777777" w:rsidR="002164E4" w:rsidRPr="00D21FB2" w:rsidRDefault="002164E4">
            <w:pPr>
              <w:rPr>
                <w:sz w:val="20"/>
              </w:rPr>
            </w:pPr>
            <w:r w:rsidRPr="00D21FB2">
              <w:rPr>
                <w:sz w:val="20"/>
              </w:rPr>
              <w:t>Cálculo del coeficiente de eficiencia del capital humano (HCE)</w:t>
            </w:r>
          </w:p>
        </w:tc>
        <w:tc>
          <w:tcPr>
            <w:tcW w:w="0" w:type="auto"/>
            <w:tcBorders>
              <w:bottom w:val="nil"/>
              <w:right w:val="nil"/>
            </w:tcBorders>
            <w:tcMar>
              <w:top w:w="75" w:type="dxa"/>
              <w:left w:w="75" w:type="dxa"/>
              <w:bottom w:w="75" w:type="dxa"/>
              <w:right w:w="75" w:type="dxa"/>
            </w:tcMar>
            <w:vAlign w:val="center"/>
            <w:hideMark/>
          </w:tcPr>
          <w:p w14:paraId="77998CDB" w14:textId="77777777" w:rsidR="002164E4" w:rsidRPr="00D21FB2" w:rsidRDefault="002164E4">
            <w:pPr>
              <w:rPr>
                <w:sz w:val="20"/>
              </w:rPr>
            </w:pPr>
          </w:p>
        </w:tc>
        <w:tc>
          <w:tcPr>
            <w:tcW w:w="0" w:type="auto"/>
            <w:tcBorders>
              <w:bottom w:val="nil"/>
              <w:right w:val="nil"/>
            </w:tcBorders>
            <w:tcMar>
              <w:top w:w="75" w:type="dxa"/>
              <w:left w:w="75" w:type="dxa"/>
              <w:bottom w:w="75" w:type="dxa"/>
              <w:right w:w="75" w:type="dxa"/>
            </w:tcMar>
            <w:vAlign w:val="center"/>
            <w:hideMark/>
          </w:tcPr>
          <w:p w14:paraId="58BD9961" w14:textId="77777777" w:rsidR="002164E4" w:rsidRPr="00D21FB2" w:rsidRDefault="002164E4">
            <w:pPr>
              <w:rPr>
                <w:sz w:val="20"/>
              </w:rPr>
            </w:pPr>
          </w:p>
        </w:tc>
      </w:tr>
      <w:tr w:rsidR="002164E4" w14:paraId="26C92997" w14:textId="77777777" w:rsidTr="002164E4">
        <w:tc>
          <w:tcPr>
            <w:tcW w:w="0" w:type="auto"/>
            <w:vMerge/>
            <w:tcBorders>
              <w:bottom w:val="nil"/>
              <w:right w:val="nil"/>
            </w:tcBorders>
            <w:vAlign w:val="center"/>
            <w:hideMark/>
          </w:tcPr>
          <w:p w14:paraId="54BA4F97" w14:textId="77777777" w:rsidR="002164E4" w:rsidRPr="00D21FB2" w:rsidRDefault="002164E4">
            <w:pPr>
              <w:rPr>
                <w:sz w:val="20"/>
              </w:rPr>
            </w:pPr>
          </w:p>
        </w:tc>
        <w:tc>
          <w:tcPr>
            <w:tcW w:w="0" w:type="auto"/>
            <w:vMerge/>
            <w:tcBorders>
              <w:bottom w:val="nil"/>
              <w:right w:val="nil"/>
            </w:tcBorders>
            <w:vAlign w:val="center"/>
            <w:hideMark/>
          </w:tcPr>
          <w:p w14:paraId="0A8C2B4D" w14:textId="77777777" w:rsidR="002164E4" w:rsidRPr="00D21FB2" w:rsidRDefault="002164E4">
            <w:pPr>
              <w:rPr>
                <w:sz w:val="20"/>
              </w:rPr>
            </w:pPr>
          </w:p>
        </w:tc>
        <w:tc>
          <w:tcPr>
            <w:tcW w:w="0" w:type="auto"/>
            <w:tcBorders>
              <w:bottom w:val="nil"/>
              <w:right w:val="nil"/>
            </w:tcBorders>
            <w:tcMar>
              <w:top w:w="75" w:type="dxa"/>
              <w:left w:w="75" w:type="dxa"/>
              <w:bottom w:w="75" w:type="dxa"/>
              <w:right w:w="75" w:type="dxa"/>
            </w:tcMar>
            <w:vAlign w:val="center"/>
            <w:hideMark/>
          </w:tcPr>
          <w:p w14:paraId="3E65DB7A" w14:textId="77777777" w:rsidR="002164E4" w:rsidRPr="00D21FB2" w:rsidRDefault="002164E4">
            <w:pPr>
              <w:rPr>
                <w:b/>
                <w:bCs/>
                <w:sz w:val="20"/>
              </w:rPr>
            </w:pPr>
            <w:r w:rsidRPr="00D21FB2">
              <w:rPr>
                <w:b/>
                <w:bCs/>
                <w:sz w:val="20"/>
              </w:rPr>
              <w:t>HCE = VA/HC</w:t>
            </w:r>
          </w:p>
        </w:tc>
        <w:tc>
          <w:tcPr>
            <w:tcW w:w="0" w:type="auto"/>
            <w:tcBorders>
              <w:bottom w:val="nil"/>
              <w:right w:val="nil"/>
            </w:tcBorders>
            <w:tcMar>
              <w:top w:w="75" w:type="dxa"/>
              <w:left w:w="75" w:type="dxa"/>
              <w:bottom w:w="75" w:type="dxa"/>
              <w:right w:w="75" w:type="dxa"/>
            </w:tcMar>
            <w:vAlign w:val="center"/>
            <w:hideMark/>
          </w:tcPr>
          <w:p w14:paraId="64A19B21" w14:textId="7FAC8E58" w:rsidR="002164E4" w:rsidRPr="00D21FB2" w:rsidRDefault="002164E4">
            <w:pPr>
              <w:rPr>
                <w:sz w:val="20"/>
              </w:rPr>
            </w:pPr>
            <w:r w:rsidRPr="00D21FB2">
              <w:rPr>
                <w:sz w:val="20"/>
              </w:rPr>
              <w:t>VA = valor a</w:t>
            </w:r>
            <w:r w:rsidR="00D21FB2" w:rsidRPr="00D21FB2">
              <w:rPr>
                <w:sz w:val="20"/>
              </w:rPr>
              <w:t>gregado</w:t>
            </w:r>
            <w:r w:rsidRPr="00D21FB2">
              <w:rPr>
                <w:sz w:val="20"/>
              </w:rPr>
              <w:br/>
              <w:t>HC = sueldos y salarios (capital humano)</w:t>
            </w:r>
          </w:p>
        </w:tc>
      </w:tr>
      <w:tr w:rsidR="002164E4" w14:paraId="72943D77" w14:textId="77777777" w:rsidTr="002164E4">
        <w:tc>
          <w:tcPr>
            <w:tcW w:w="0" w:type="auto"/>
            <w:vMerge/>
            <w:tcBorders>
              <w:bottom w:val="nil"/>
              <w:right w:val="nil"/>
            </w:tcBorders>
            <w:vAlign w:val="center"/>
            <w:hideMark/>
          </w:tcPr>
          <w:p w14:paraId="0E4D4F37" w14:textId="77777777" w:rsidR="002164E4" w:rsidRPr="00D21FB2" w:rsidRDefault="002164E4">
            <w:pPr>
              <w:rPr>
                <w:sz w:val="20"/>
              </w:rPr>
            </w:pPr>
          </w:p>
        </w:tc>
        <w:tc>
          <w:tcPr>
            <w:tcW w:w="0" w:type="auto"/>
            <w:tcBorders>
              <w:bottom w:val="nil"/>
              <w:right w:val="nil"/>
            </w:tcBorders>
            <w:tcMar>
              <w:top w:w="75" w:type="dxa"/>
              <w:left w:w="75" w:type="dxa"/>
              <w:bottom w:w="75" w:type="dxa"/>
              <w:right w:w="75" w:type="dxa"/>
            </w:tcMar>
            <w:vAlign w:val="center"/>
            <w:hideMark/>
          </w:tcPr>
          <w:p w14:paraId="46E49DCA" w14:textId="77777777" w:rsidR="002164E4" w:rsidRPr="00D21FB2" w:rsidRDefault="002164E4">
            <w:pPr>
              <w:rPr>
                <w:b/>
                <w:bCs/>
                <w:sz w:val="20"/>
              </w:rPr>
            </w:pPr>
            <w:r w:rsidRPr="00D21FB2">
              <w:rPr>
                <w:b/>
                <w:bCs/>
                <w:sz w:val="20"/>
              </w:rPr>
              <w:t>Fuente de consulta</w:t>
            </w:r>
          </w:p>
        </w:tc>
        <w:tc>
          <w:tcPr>
            <w:tcW w:w="0" w:type="auto"/>
            <w:gridSpan w:val="2"/>
            <w:tcBorders>
              <w:bottom w:val="nil"/>
              <w:right w:val="nil"/>
            </w:tcBorders>
            <w:tcMar>
              <w:top w:w="75" w:type="dxa"/>
              <w:left w:w="75" w:type="dxa"/>
              <w:bottom w:w="75" w:type="dxa"/>
              <w:right w:w="75" w:type="dxa"/>
            </w:tcMar>
            <w:vAlign w:val="center"/>
            <w:hideMark/>
          </w:tcPr>
          <w:p w14:paraId="4B8619AF" w14:textId="77777777" w:rsidR="002164E4" w:rsidRPr="00D21FB2" w:rsidRDefault="002164E4">
            <w:pPr>
              <w:rPr>
                <w:sz w:val="20"/>
              </w:rPr>
            </w:pPr>
            <w:r w:rsidRPr="00D21FB2">
              <w:rPr>
                <w:sz w:val="20"/>
              </w:rPr>
              <w:t>Estado de pérdidas y ganancias y las notas a los estados financieros</w:t>
            </w:r>
          </w:p>
        </w:tc>
      </w:tr>
      <w:tr w:rsidR="002164E4" w14:paraId="1BD0B7CB" w14:textId="77777777" w:rsidTr="002164E4">
        <w:tc>
          <w:tcPr>
            <w:tcW w:w="0" w:type="auto"/>
            <w:vMerge w:val="restart"/>
            <w:tcBorders>
              <w:bottom w:val="nil"/>
              <w:right w:val="nil"/>
            </w:tcBorders>
            <w:tcMar>
              <w:top w:w="75" w:type="dxa"/>
              <w:left w:w="75" w:type="dxa"/>
              <w:bottom w:w="75" w:type="dxa"/>
              <w:right w:w="75" w:type="dxa"/>
            </w:tcMar>
            <w:vAlign w:val="center"/>
            <w:hideMark/>
          </w:tcPr>
          <w:p w14:paraId="3C06F7D7" w14:textId="77777777" w:rsidR="002164E4" w:rsidRPr="00D21FB2" w:rsidRDefault="002164E4" w:rsidP="00D21FB2">
            <w:pPr>
              <w:jc w:val="center"/>
              <w:rPr>
                <w:sz w:val="20"/>
              </w:rPr>
            </w:pPr>
            <w:r w:rsidRPr="00D21FB2">
              <w:rPr>
                <w:sz w:val="20"/>
              </w:rPr>
              <w:t>Paso 3</w:t>
            </w:r>
          </w:p>
        </w:tc>
        <w:tc>
          <w:tcPr>
            <w:tcW w:w="0" w:type="auto"/>
            <w:vMerge w:val="restart"/>
            <w:tcBorders>
              <w:bottom w:val="nil"/>
              <w:right w:val="nil"/>
            </w:tcBorders>
            <w:tcMar>
              <w:top w:w="75" w:type="dxa"/>
              <w:left w:w="75" w:type="dxa"/>
              <w:bottom w:w="75" w:type="dxa"/>
              <w:right w:w="75" w:type="dxa"/>
            </w:tcMar>
            <w:vAlign w:val="center"/>
            <w:hideMark/>
          </w:tcPr>
          <w:p w14:paraId="725EC573" w14:textId="77777777" w:rsidR="002164E4" w:rsidRPr="00D21FB2" w:rsidRDefault="002164E4">
            <w:pPr>
              <w:rPr>
                <w:sz w:val="20"/>
              </w:rPr>
            </w:pPr>
            <w:r w:rsidRPr="00D21FB2">
              <w:rPr>
                <w:sz w:val="20"/>
              </w:rPr>
              <w:t>Cálculo del coeficiente de eficiencia del capital estructural (SCE)</w:t>
            </w:r>
          </w:p>
        </w:tc>
        <w:tc>
          <w:tcPr>
            <w:tcW w:w="0" w:type="auto"/>
            <w:tcBorders>
              <w:bottom w:val="nil"/>
              <w:right w:val="nil"/>
            </w:tcBorders>
            <w:tcMar>
              <w:top w:w="75" w:type="dxa"/>
              <w:left w:w="75" w:type="dxa"/>
              <w:bottom w:w="75" w:type="dxa"/>
              <w:right w:w="75" w:type="dxa"/>
            </w:tcMar>
            <w:vAlign w:val="center"/>
            <w:hideMark/>
          </w:tcPr>
          <w:p w14:paraId="38C9BE85" w14:textId="77777777" w:rsidR="002164E4" w:rsidRPr="00D21FB2" w:rsidRDefault="002164E4">
            <w:pPr>
              <w:rPr>
                <w:sz w:val="20"/>
              </w:rPr>
            </w:pPr>
          </w:p>
        </w:tc>
        <w:tc>
          <w:tcPr>
            <w:tcW w:w="0" w:type="auto"/>
            <w:tcBorders>
              <w:bottom w:val="nil"/>
              <w:right w:val="nil"/>
            </w:tcBorders>
            <w:tcMar>
              <w:top w:w="75" w:type="dxa"/>
              <w:left w:w="75" w:type="dxa"/>
              <w:bottom w:w="75" w:type="dxa"/>
              <w:right w:w="75" w:type="dxa"/>
            </w:tcMar>
            <w:vAlign w:val="center"/>
            <w:hideMark/>
          </w:tcPr>
          <w:p w14:paraId="2E9EC3F7" w14:textId="77777777" w:rsidR="002164E4" w:rsidRPr="00D21FB2" w:rsidRDefault="002164E4">
            <w:pPr>
              <w:rPr>
                <w:sz w:val="20"/>
              </w:rPr>
            </w:pPr>
          </w:p>
        </w:tc>
      </w:tr>
      <w:tr w:rsidR="002164E4" w14:paraId="58979525" w14:textId="77777777" w:rsidTr="002164E4">
        <w:tc>
          <w:tcPr>
            <w:tcW w:w="0" w:type="auto"/>
            <w:vMerge/>
            <w:tcBorders>
              <w:bottom w:val="nil"/>
              <w:right w:val="nil"/>
            </w:tcBorders>
            <w:vAlign w:val="center"/>
            <w:hideMark/>
          </w:tcPr>
          <w:p w14:paraId="3127B127" w14:textId="77777777" w:rsidR="002164E4" w:rsidRPr="00D21FB2" w:rsidRDefault="002164E4" w:rsidP="00D21FB2">
            <w:pPr>
              <w:jc w:val="center"/>
              <w:rPr>
                <w:sz w:val="20"/>
              </w:rPr>
            </w:pPr>
          </w:p>
        </w:tc>
        <w:tc>
          <w:tcPr>
            <w:tcW w:w="0" w:type="auto"/>
            <w:vMerge/>
            <w:tcBorders>
              <w:bottom w:val="nil"/>
              <w:right w:val="nil"/>
            </w:tcBorders>
            <w:vAlign w:val="center"/>
            <w:hideMark/>
          </w:tcPr>
          <w:p w14:paraId="5AC3E6CE" w14:textId="77777777" w:rsidR="002164E4" w:rsidRPr="00D21FB2" w:rsidRDefault="002164E4">
            <w:pPr>
              <w:rPr>
                <w:sz w:val="20"/>
              </w:rPr>
            </w:pPr>
          </w:p>
        </w:tc>
        <w:tc>
          <w:tcPr>
            <w:tcW w:w="0" w:type="auto"/>
            <w:tcBorders>
              <w:bottom w:val="nil"/>
              <w:right w:val="nil"/>
            </w:tcBorders>
            <w:tcMar>
              <w:top w:w="75" w:type="dxa"/>
              <w:left w:w="75" w:type="dxa"/>
              <w:bottom w:w="75" w:type="dxa"/>
              <w:right w:w="75" w:type="dxa"/>
            </w:tcMar>
            <w:vAlign w:val="center"/>
            <w:hideMark/>
          </w:tcPr>
          <w:p w14:paraId="287A4B2C" w14:textId="77777777" w:rsidR="002164E4" w:rsidRPr="00D21FB2" w:rsidRDefault="002164E4">
            <w:pPr>
              <w:rPr>
                <w:b/>
                <w:bCs/>
                <w:sz w:val="20"/>
              </w:rPr>
            </w:pPr>
            <w:r w:rsidRPr="00D21FB2">
              <w:rPr>
                <w:b/>
                <w:bCs/>
                <w:sz w:val="20"/>
              </w:rPr>
              <w:t>SCE = SC/VA</w:t>
            </w:r>
          </w:p>
        </w:tc>
        <w:tc>
          <w:tcPr>
            <w:tcW w:w="0" w:type="auto"/>
            <w:tcBorders>
              <w:bottom w:val="nil"/>
              <w:right w:val="nil"/>
            </w:tcBorders>
            <w:tcMar>
              <w:top w:w="75" w:type="dxa"/>
              <w:left w:w="75" w:type="dxa"/>
              <w:bottom w:w="75" w:type="dxa"/>
              <w:right w:w="75" w:type="dxa"/>
            </w:tcMar>
            <w:vAlign w:val="center"/>
            <w:hideMark/>
          </w:tcPr>
          <w:p w14:paraId="76A2A4C2" w14:textId="77777777" w:rsidR="002164E4" w:rsidRPr="00D21FB2" w:rsidRDefault="002164E4">
            <w:pPr>
              <w:rPr>
                <w:sz w:val="20"/>
              </w:rPr>
            </w:pPr>
            <w:r w:rsidRPr="00D21FB2">
              <w:rPr>
                <w:sz w:val="20"/>
              </w:rPr>
              <w:t>SC = capital estructural</w:t>
            </w:r>
            <w:r w:rsidRPr="00D21FB2">
              <w:rPr>
                <w:sz w:val="20"/>
              </w:rPr>
              <w:br/>
              <w:t>SC = VA−HC</w:t>
            </w:r>
            <w:r w:rsidRPr="00D21FB2">
              <w:rPr>
                <w:sz w:val="20"/>
              </w:rPr>
              <w:br/>
              <w:t>VA = valor añadido</w:t>
            </w:r>
          </w:p>
        </w:tc>
      </w:tr>
      <w:tr w:rsidR="002164E4" w14:paraId="693AD89C" w14:textId="77777777" w:rsidTr="002164E4">
        <w:tc>
          <w:tcPr>
            <w:tcW w:w="0" w:type="auto"/>
            <w:vMerge/>
            <w:tcBorders>
              <w:bottom w:val="nil"/>
              <w:right w:val="nil"/>
            </w:tcBorders>
            <w:vAlign w:val="center"/>
            <w:hideMark/>
          </w:tcPr>
          <w:p w14:paraId="4A419138" w14:textId="77777777" w:rsidR="002164E4" w:rsidRPr="00D21FB2" w:rsidRDefault="002164E4" w:rsidP="00D21FB2">
            <w:pPr>
              <w:jc w:val="center"/>
              <w:rPr>
                <w:sz w:val="20"/>
              </w:rPr>
            </w:pPr>
          </w:p>
        </w:tc>
        <w:tc>
          <w:tcPr>
            <w:tcW w:w="0" w:type="auto"/>
            <w:tcBorders>
              <w:bottom w:val="nil"/>
              <w:right w:val="nil"/>
            </w:tcBorders>
            <w:tcMar>
              <w:top w:w="75" w:type="dxa"/>
              <w:left w:w="75" w:type="dxa"/>
              <w:bottom w:w="75" w:type="dxa"/>
              <w:right w:w="75" w:type="dxa"/>
            </w:tcMar>
            <w:vAlign w:val="center"/>
            <w:hideMark/>
          </w:tcPr>
          <w:p w14:paraId="506CF6F2" w14:textId="77777777" w:rsidR="002164E4" w:rsidRPr="00D21FB2" w:rsidRDefault="002164E4">
            <w:pPr>
              <w:rPr>
                <w:b/>
                <w:bCs/>
                <w:sz w:val="20"/>
              </w:rPr>
            </w:pPr>
            <w:r w:rsidRPr="00D21FB2">
              <w:rPr>
                <w:b/>
                <w:bCs/>
                <w:sz w:val="20"/>
              </w:rPr>
              <w:t>Fuente de consulta</w:t>
            </w:r>
          </w:p>
        </w:tc>
        <w:tc>
          <w:tcPr>
            <w:tcW w:w="0" w:type="auto"/>
            <w:gridSpan w:val="2"/>
            <w:tcBorders>
              <w:bottom w:val="nil"/>
              <w:right w:val="nil"/>
            </w:tcBorders>
            <w:tcMar>
              <w:top w:w="75" w:type="dxa"/>
              <w:left w:w="75" w:type="dxa"/>
              <w:bottom w:w="75" w:type="dxa"/>
              <w:right w:w="75" w:type="dxa"/>
            </w:tcMar>
            <w:vAlign w:val="center"/>
            <w:hideMark/>
          </w:tcPr>
          <w:p w14:paraId="7F4A8770" w14:textId="77777777" w:rsidR="002164E4" w:rsidRPr="00D21FB2" w:rsidRDefault="002164E4">
            <w:pPr>
              <w:rPr>
                <w:sz w:val="20"/>
              </w:rPr>
            </w:pPr>
            <w:r w:rsidRPr="00D21FB2">
              <w:rPr>
                <w:sz w:val="20"/>
              </w:rPr>
              <w:t>Estado de pérdidas y ganancias y las notas a los estados financieros</w:t>
            </w:r>
          </w:p>
        </w:tc>
      </w:tr>
      <w:tr w:rsidR="002164E4" w14:paraId="43D1B4ED" w14:textId="77777777" w:rsidTr="002164E4">
        <w:tc>
          <w:tcPr>
            <w:tcW w:w="0" w:type="auto"/>
            <w:vMerge w:val="restart"/>
            <w:tcBorders>
              <w:bottom w:val="nil"/>
              <w:right w:val="nil"/>
            </w:tcBorders>
            <w:tcMar>
              <w:top w:w="75" w:type="dxa"/>
              <w:left w:w="75" w:type="dxa"/>
              <w:bottom w:w="75" w:type="dxa"/>
              <w:right w:w="75" w:type="dxa"/>
            </w:tcMar>
            <w:vAlign w:val="center"/>
            <w:hideMark/>
          </w:tcPr>
          <w:p w14:paraId="1194BB81" w14:textId="77777777" w:rsidR="002164E4" w:rsidRPr="00D21FB2" w:rsidRDefault="002164E4" w:rsidP="00D21FB2">
            <w:pPr>
              <w:jc w:val="center"/>
              <w:rPr>
                <w:sz w:val="20"/>
              </w:rPr>
            </w:pPr>
            <w:r w:rsidRPr="00D21FB2">
              <w:rPr>
                <w:sz w:val="20"/>
              </w:rPr>
              <w:t>Paso 4</w:t>
            </w:r>
          </w:p>
        </w:tc>
        <w:tc>
          <w:tcPr>
            <w:tcW w:w="0" w:type="auto"/>
            <w:vMerge w:val="restart"/>
            <w:tcBorders>
              <w:bottom w:val="nil"/>
              <w:right w:val="nil"/>
            </w:tcBorders>
            <w:tcMar>
              <w:top w:w="75" w:type="dxa"/>
              <w:left w:w="75" w:type="dxa"/>
              <w:bottom w:w="75" w:type="dxa"/>
              <w:right w:w="75" w:type="dxa"/>
            </w:tcMar>
            <w:vAlign w:val="center"/>
            <w:hideMark/>
          </w:tcPr>
          <w:p w14:paraId="11EA0DBF" w14:textId="77777777" w:rsidR="002164E4" w:rsidRPr="00D21FB2" w:rsidRDefault="002164E4">
            <w:pPr>
              <w:rPr>
                <w:sz w:val="20"/>
              </w:rPr>
            </w:pPr>
            <w:r w:rsidRPr="00D21FB2">
              <w:rPr>
                <w:sz w:val="20"/>
              </w:rPr>
              <w:t>Cálculo del coeficiente de eficiencia del capital intelectual (ICE)</w:t>
            </w:r>
          </w:p>
        </w:tc>
        <w:tc>
          <w:tcPr>
            <w:tcW w:w="0" w:type="auto"/>
            <w:tcBorders>
              <w:bottom w:val="nil"/>
              <w:right w:val="nil"/>
            </w:tcBorders>
            <w:tcMar>
              <w:top w:w="75" w:type="dxa"/>
              <w:left w:w="75" w:type="dxa"/>
              <w:bottom w:w="75" w:type="dxa"/>
              <w:right w:w="75" w:type="dxa"/>
            </w:tcMar>
            <w:vAlign w:val="center"/>
            <w:hideMark/>
          </w:tcPr>
          <w:p w14:paraId="5B1E0F9C" w14:textId="77777777" w:rsidR="002164E4" w:rsidRPr="00D21FB2" w:rsidRDefault="002164E4">
            <w:pPr>
              <w:rPr>
                <w:sz w:val="20"/>
              </w:rPr>
            </w:pPr>
          </w:p>
        </w:tc>
        <w:tc>
          <w:tcPr>
            <w:tcW w:w="0" w:type="auto"/>
            <w:tcBorders>
              <w:bottom w:val="nil"/>
              <w:right w:val="nil"/>
            </w:tcBorders>
            <w:tcMar>
              <w:top w:w="75" w:type="dxa"/>
              <w:left w:w="75" w:type="dxa"/>
              <w:bottom w:w="75" w:type="dxa"/>
              <w:right w:w="75" w:type="dxa"/>
            </w:tcMar>
            <w:vAlign w:val="center"/>
            <w:hideMark/>
          </w:tcPr>
          <w:p w14:paraId="2B49A87E" w14:textId="77777777" w:rsidR="002164E4" w:rsidRPr="00D21FB2" w:rsidRDefault="002164E4">
            <w:pPr>
              <w:rPr>
                <w:sz w:val="20"/>
              </w:rPr>
            </w:pPr>
          </w:p>
        </w:tc>
      </w:tr>
      <w:tr w:rsidR="002164E4" w14:paraId="15A01FB1" w14:textId="77777777" w:rsidTr="002164E4">
        <w:tc>
          <w:tcPr>
            <w:tcW w:w="0" w:type="auto"/>
            <w:vMerge/>
            <w:tcBorders>
              <w:bottom w:val="nil"/>
              <w:right w:val="nil"/>
            </w:tcBorders>
            <w:vAlign w:val="center"/>
            <w:hideMark/>
          </w:tcPr>
          <w:p w14:paraId="5F16C90E" w14:textId="77777777" w:rsidR="002164E4" w:rsidRPr="00D21FB2" w:rsidRDefault="002164E4" w:rsidP="00D21FB2">
            <w:pPr>
              <w:jc w:val="center"/>
              <w:rPr>
                <w:sz w:val="20"/>
              </w:rPr>
            </w:pPr>
          </w:p>
        </w:tc>
        <w:tc>
          <w:tcPr>
            <w:tcW w:w="0" w:type="auto"/>
            <w:vMerge/>
            <w:tcBorders>
              <w:bottom w:val="nil"/>
              <w:right w:val="nil"/>
            </w:tcBorders>
            <w:vAlign w:val="center"/>
            <w:hideMark/>
          </w:tcPr>
          <w:p w14:paraId="082BF994" w14:textId="77777777" w:rsidR="002164E4" w:rsidRPr="00D21FB2" w:rsidRDefault="002164E4">
            <w:pPr>
              <w:rPr>
                <w:sz w:val="20"/>
              </w:rPr>
            </w:pPr>
          </w:p>
        </w:tc>
        <w:tc>
          <w:tcPr>
            <w:tcW w:w="0" w:type="auto"/>
            <w:tcBorders>
              <w:bottom w:val="nil"/>
              <w:right w:val="nil"/>
            </w:tcBorders>
            <w:tcMar>
              <w:top w:w="75" w:type="dxa"/>
              <w:left w:w="75" w:type="dxa"/>
              <w:bottom w:w="75" w:type="dxa"/>
              <w:right w:w="75" w:type="dxa"/>
            </w:tcMar>
            <w:vAlign w:val="center"/>
            <w:hideMark/>
          </w:tcPr>
          <w:p w14:paraId="1A124DED" w14:textId="77777777" w:rsidR="002164E4" w:rsidRPr="00D21FB2" w:rsidRDefault="002164E4">
            <w:pPr>
              <w:rPr>
                <w:b/>
                <w:bCs/>
                <w:sz w:val="20"/>
              </w:rPr>
            </w:pPr>
            <w:r w:rsidRPr="00D21FB2">
              <w:rPr>
                <w:b/>
                <w:bCs/>
                <w:sz w:val="20"/>
              </w:rPr>
              <w:t>ICE = SCE + HCE</w:t>
            </w:r>
          </w:p>
        </w:tc>
        <w:tc>
          <w:tcPr>
            <w:tcW w:w="0" w:type="auto"/>
            <w:tcBorders>
              <w:bottom w:val="nil"/>
              <w:right w:val="nil"/>
            </w:tcBorders>
            <w:tcMar>
              <w:top w:w="75" w:type="dxa"/>
              <w:left w:w="75" w:type="dxa"/>
              <w:bottom w:w="75" w:type="dxa"/>
              <w:right w:w="75" w:type="dxa"/>
            </w:tcMar>
            <w:vAlign w:val="center"/>
            <w:hideMark/>
          </w:tcPr>
          <w:p w14:paraId="4B44488D" w14:textId="77777777" w:rsidR="002164E4" w:rsidRPr="00D21FB2" w:rsidRDefault="002164E4">
            <w:pPr>
              <w:rPr>
                <w:sz w:val="20"/>
              </w:rPr>
            </w:pPr>
            <w:r w:rsidRPr="00D21FB2">
              <w:rPr>
                <w:sz w:val="20"/>
              </w:rPr>
              <w:t>SCE = coeficiente de eficiencia del capital estructural</w:t>
            </w:r>
            <w:r w:rsidRPr="00D21FB2">
              <w:rPr>
                <w:sz w:val="20"/>
              </w:rPr>
              <w:br/>
              <w:t>HCE = coeficiente de eficiencia del capital humano</w:t>
            </w:r>
          </w:p>
        </w:tc>
      </w:tr>
      <w:tr w:rsidR="002164E4" w14:paraId="75E68327" w14:textId="77777777" w:rsidTr="002164E4">
        <w:tc>
          <w:tcPr>
            <w:tcW w:w="0" w:type="auto"/>
            <w:vMerge/>
            <w:tcBorders>
              <w:bottom w:val="nil"/>
              <w:right w:val="nil"/>
            </w:tcBorders>
            <w:vAlign w:val="center"/>
            <w:hideMark/>
          </w:tcPr>
          <w:p w14:paraId="3AEC944E" w14:textId="77777777" w:rsidR="002164E4" w:rsidRPr="00D21FB2" w:rsidRDefault="002164E4" w:rsidP="00D21FB2">
            <w:pPr>
              <w:jc w:val="center"/>
              <w:rPr>
                <w:sz w:val="20"/>
              </w:rPr>
            </w:pPr>
          </w:p>
        </w:tc>
        <w:tc>
          <w:tcPr>
            <w:tcW w:w="0" w:type="auto"/>
            <w:tcBorders>
              <w:bottom w:val="nil"/>
              <w:right w:val="nil"/>
            </w:tcBorders>
            <w:tcMar>
              <w:top w:w="75" w:type="dxa"/>
              <w:left w:w="75" w:type="dxa"/>
              <w:bottom w:w="75" w:type="dxa"/>
              <w:right w:w="75" w:type="dxa"/>
            </w:tcMar>
            <w:vAlign w:val="center"/>
            <w:hideMark/>
          </w:tcPr>
          <w:p w14:paraId="2102475C" w14:textId="77777777" w:rsidR="002164E4" w:rsidRPr="00D21FB2" w:rsidRDefault="002164E4">
            <w:pPr>
              <w:rPr>
                <w:b/>
                <w:bCs/>
                <w:sz w:val="20"/>
              </w:rPr>
            </w:pPr>
            <w:r w:rsidRPr="00D21FB2">
              <w:rPr>
                <w:b/>
                <w:bCs/>
                <w:sz w:val="20"/>
              </w:rPr>
              <w:t>Fuente de consulta</w:t>
            </w:r>
          </w:p>
        </w:tc>
        <w:tc>
          <w:tcPr>
            <w:tcW w:w="0" w:type="auto"/>
            <w:gridSpan w:val="2"/>
            <w:tcBorders>
              <w:bottom w:val="nil"/>
              <w:right w:val="nil"/>
            </w:tcBorders>
            <w:tcMar>
              <w:top w:w="75" w:type="dxa"/>
              <w:left w:w="75" w:type="dxa"/>
              <w:bottom w:w="75" w:type="dxa"/>
              <w:right w:w="75" w:type="dxa"/>
            </w:tcMar>
            <w:vAlign w:val="center"/>
            <w:hideMark/>
          </w:tcPr>
          <w:p w14:paraId="6F7851C9" w14:textId="77777777" w:rsidR="002164E4" w:rsidRPr="00D21FB2" w:rsidRDefault="002164E4">
            <w:pPr>
              <w:rPr>
                <w:sz w:val="20"/>
              </w:rPr>
            </w:pPr>
            <w:r w:rsidRPr="00D21FB2">
              <w:rPr>
                <w:sz w:val="20"/>
              </w:rPr>
              <w:t>Estado de pérdidas y ganancias y las notas a los estados financieros</w:t>
            </w:r>
          </w:p>
        </w:tc>
      </w:tr>
      <w:tr w:rsidR="002164E4" w14:paraId="72BC0108" w14:textId="77777777" w:rsidTr="002164E4">
        <w:tc>
          <w:tcPr>
            <w:tcW w:w="0" w:type="auto"/>
            <w:vMerge w:val="restart"/>
            <w:tcBorders>
              <w:bottom w:val="nil"/>
              <w:right w:val="nil"/>
            </w:tcBorders>
            <w:tcMar>
              <w:top w:w="75" w:type="dxa"/>
              <w:left w:w="75" w:type="dxa"/>
              <w:bottom w:w="75" w:type="dxa"/>
              <w:right w:w="75" w:type="dxa"/>
            </w:tcMar>
            <w:vAlign w:val="center"/>
            <w:hideMark/>
          </w:tcPr>
          <w:p w14:paraId="2742682E" w14:textId="77777777" w:rsidR="002164E4" w:rsidRPr="00D21FB2" w:rsidRDefault="002164E4" w:rsidP="00D21FB2">
            <w:pPr>
              <w:jc w:val="center"/>
              <w:rPr>
                <w:sz w:val="20"/>
              </w:rPr>
            </w:pPr>
            <w:r w:rsidRPr="00D21FB2">
              <w:rPr>
                <w:sz w:val="20"/>
              </w:rPr>
              <w:t>Paso 5</w:t>
            </w:r>
          </w:p>
        </w:tc>
        <w:tc>
          <w:tcPr>
            <w:tcW w:w="0" w:type="auto"/>
            <w:vMerge w:val="restart"/>
            <w:tcBorders>
              <w:bottom w:val="nil"/>
              <w:right w:val="nil"/>
            </w:tcBorders>
            <w:tcMar>
              <w:top w:w="75" w:type="dxa"/>
              <w:left w:w="75" w:type="dxa"/>
              <w:bottom w:w="75" w:type="dxa"/>
              <w:right w:w="75" w:type="dxa"/>
            </w:tcMar>
            <w:vAlign w:val="center"/>
            <w:hideMark/>
          </w:tcPr>
          <w:p w14:paraId="39A36DAD" w14:textId="77777777" w:rsidR="002164E4" w:rsidRPr="00D21FB2" w:rsidRDefault="002164E4">
            <w:pPr>
              <w:rPr>
                <w:sz w:val="20"/>
              </w:rPr>
            </w:pPr>
            <w:r w:rsidRPr="00D21FB2">
              <w:rPr>
                <w:sz w:val="20"/>
              </w:rPr>
              <w:t>Cálculo del coeficiente de eficiencia del capital empleado (CEE)</w:t>
            </w:r>
          </w:p>
        </w:tc>
        <w:tc>
          <w:tcPr>
            <w:tcW w:w="0" w:type="auto"/>
            <w:tcBorders>
              <w:bottom w:val="nil"/>
              <w:right w:val="nil"/>
            </w:tcBorders>
            <w:tcMar>
              <w:top w:w="75" w:type="dxa"/>
              <w:left w:w="75" w:type="dxa"/>
              <w:bottom w:w="75" w:type="dxa"/>
              <w:right w:w="75" w:type="dxa"/>
            </w:tcMar>
            <w:vAlign w:val="center"/>
            <w:hideMark/>
          </w:tcPr>
          <w:p w14:paraId="4DB34BD5" w14:textId="77777777" w:rsidR="002164E4" w:rsidRPr="00D21FB2" w:rsidRDefault="002164E4">
            <w:pPr>
              <w:rPr>
                <w:sz w:val="20"/>
              </w:rPr>
            </w:pPr>
          </w:p>
        </w:tc>
        <w:tc>
          <w:tcPr>
            <w:tcW w:w="0" w:type="auto"/>
            <w:tcBorders>
              <w:bottom w:val="nil"/>
              <w:right w:val="nil"/>
            </w:tcBorders>
            <w:tcMar>
              <w:top w:w="75" w:type="dxa"/>
              <w:left w:w="75" w:type="dxa"/>
              <w:bottom w:w="75" w:type="dxa"/>
              <w:right w:w="75" w:type="dxa"/>
            </w:tcMar>
            <w:vAlign w:val="center"/>
            <w:hideMark/>
          </w:tcPr>
          <w:p w14:paraId="7270F6E1" w14:textId="77777777" w:rsidR="002164E4" w:rsidRPr="00D21FB2" w:rsidRDefault="002164E4">
            <w:pPr>
              <w:rPr>
                <w:sz w:val="20"/>
              </w:rPr>
            </w:pPr>
          </w:p>
        </w:tc>
      </w:tr>
      <w:tr w:rsidR="002164E4" w14:paraId="6C40A66C" w14:textId="77777777" w:rsidTr="002164E4">
        <w:tc>
          <w:tcPr>
            <w:tcW w:w="0" w:type="auto"/>
            <w:vMerge/>
            <w:tcBorders>
              <w:bottom w:val="nil"/>
              <w:right w:val="nil"/>
            </w:tcBorders>
            <w:vAlign w:val="center"/>
            <w:hideMark/>
          </w:tcPr>
          <w:p w14:paraId="3180944E" w14:textId="77777777" w:rsidR="002164E4" w:rsidRPr="00D21FB2" w:rsidRDefault="002164E4" w:rsidP="00D21FB2">
            <w:pPr>
              <w:jc w:val="center"/>
              <w:rPr>
                <w:sz w:val="20"/>
              </w:rPr>
            </w:pPr>
          </w:p>
        </w:tc>
        <w:tc>
          <w:tcPr>
            <w:tcW w:w="0" w:type="auto"/>
            <w:vMerge/>
            <w:tcBorders>
              <w:bottom w:val="nil"/>
              <w:right w:val="nil"/>
            </w:tcBorders>
            <w:vAlign w:val="center"/>
            <w:hideMark/>
          </w:tcPr>
          <w:p w14:paraId="2CC64CAE" w14:textId="77777777" w:rsidR="002164E4" w:rsidRPr="00D21FB2" w:rsidRDefault="002164E4">
            <w:pPr>
              <w:rPr>
                <w:sz w:val="20"/>
              </w:rPr>
            </w:pPr>
          </w:p>
        </w:tc>
        <w:tc>
          <w:tcPr>
            <w:tcW w:w="0" w:type="auto"/>
            <w:tcBorders>
              <w:bottom w:val="nil"/>
              <w:right w:val="nil"/>
            </w:tcBorders>
            <w:tcMar>
              <w:top w:w="75" w:type="dxa"/>
              <w:left w:w="75" w:type="dxa"/>
              <w:bottom w:w="75" w:type="dxa"/>
              <w:right w:w="75" w:type="dxa"/>
            </w:tcMar>
            <w:vAlign w:val="center"/>
            <w:hideMark/>
          </w:tcPr>
          <w:p w14:paraId="4E78689B" w14:textId="77777777" w:rsidR="002164E4" w:rsidRPr="00D21FB2" w:rsidRDefault="002164E4">
            <w:pPr>
              <w:rPr>
                <w:b/>
                <w:bCs/>
                <w:sz w:val="20"/>
              </w:rPr>
            </w:pPr>
            <w:r w:rsidRPr="00D21FB2">
              <w:rPr>
                <w:b/>
                <w:bCs/>
                <w:sz w:val="20"/>
              </w:rPr>
              <w:t>CEE = VA/CE</w:t>
            </w:r>
          </w:p>
        </w:tc>
        <w:tc>
          <w:tcPr>
            <w:tcW w:w="0" w:type="auto"/>
            <w:tcBorders>
              <w:bottom w:val="nil"/>
              <w:right w:val="nil"/>
            </w:tcBorders>
            <w:tcMar>
              <w:top w:w="75" w:type="dxa"/>
              <w:left w:w="75" w:type="dxa"/>
              <w:bottom w:w="75" w:type="dxa"/>
              <w:right w:w="75" w:type="dxa"/>
            </w:tcMar>
            <w:vAlign w:val="center"/>
            <w:hideMark/>
          </w:tcPr>
          <w:p w14:paraId="7C51E164" w14:textId="77777777" w:rsidR="002164E4" w:rsidRPr="00D21FB2" w:rsidRDefault="002164E4">
            <w:pPr>
              <w:rPr>
                <w:sz w:val="20"/>
              </w:rPr>
            </w:pPr>
            <w:r w:rsidRPr="00D21FB2">
              <w:rPr>
                <w:sz w:val="20"/>
              </w:rPr>
              <w:t>VA = valor añadido</w:t>
            </w:r>
            <w:r w:rsidRPr="00D21FB2">
              <w:rPr>
                <w:sz w:val="20"/>
              </w:rPr>
              <w:br/>
              <w:t>CE = valor en libros de los activos netos de una empresa</w:t>
            </w:r>
          </w:p>
        </w:tc>
      </w:tr>
      <w:tr w:rsidR="002164E4" w14:paraId="14E16187" w14:textId="77777777" w:rsidTr="002164E4">
        <w:tc>
          <w:tcPr>
            <w:tcW w:w="0" w:type="auto"/>
            <w:vMerge/>
            <w:tcBorders>
              <w:bottom w:val="nil"/>
              <w:right w:val="nil"/>
            </w:tcBorders>
            <w:vAlign w:val="center"/>
            <w:hideMark/>
          </w:tcPr>
          <w:p w14:paraId="073D690F" w14:textId="77777777" w:rsidR="002164E4" w:rsidRPr="00D21FB2" w:rsidRDefault="002164E4" w:rsidP="00D21FB2">
            <w:pPr>
              <w:jc w:val="center"/>
              <w:rPr>
                <w:sz w:val="20"/>
              </w:rPr>
            </w:pPr>
          </w:p>
        </w:tc>
        <w:tc>
          <w:tcPr>
            <w:tcW w:w="0" w:type="auto"/>
            <w:tcBorders>
              <w:bottom w:val="nil"/>
              <w:right w:val="nil"/>
            </w:tcBorders>
            <w:tcMar>
              <w:top w:w="75" w:type="dxa"/>
              <w:left w:w="75" w:type="dxa"/>
              <w:bottom w:w="75" w:type="dxa"/>
              <w:right w:w="75" w:type="dxa"/>
            </w:tcMar>
            <w:vAlign w:val="center"/>
            <w:hideMark/>
          </w:tcPr>
          <w:p w14:paraId="59F4269C" w14:textId="77777777" w:rsidR="002164E4" w:rsidRPr="00D21FB2" w:rsidRDefault="002164E4">
            <w:pPr>
              <w:rPr>
                <w:b/>
                <w:bCs/>
                <w:sz w:val="20"/>
              </w:rPr>
            </w:pPr>
            <w:r w:rsidRPr="00D21FB2">
              <w:rPr>
                <w:b/>
                <w:bCs/>
                <w:sz w:val="20"/>
              </w:rPr>
              <w:t>Fuente de consulta</w:t>
            </w:r>
          </w:p>
        </w:tc>
        <w:tc>
          <w:tcPr>
            <w:tcW w:w="0" w:type="auto"/>
            <w:gridSpan w:val="2"/>
            <w:tcBorders>
              <w:bottom w:val="nil"/>
              <w:right w:val="nil"/>
            </w:tcBorders>
            <w:tcMar>
              <w:top w:w="75" w:type="dxa"/>
              <w:left w:w="75" w:type="dxa"/>
              <w:bottom w:w="75" w:type="dxa"/>
              <w:right w:w="75" w:type="dxa"/>
            </w:tcMar>
            <w:vAlign w:val="center"/>
            <w:hideMark/>
          </w:tcPr>
          <w:p w14:paraId="067A176D" w14:textId="77777777" w:rsidR="002164E4" w:rsidRPr="00D21FB2" w:rsidRDefault="002164E4">
            <w:pPr>
              <w:rPr>
                <w:sz w:val="20"/>
              </w:rPr>
            </w:pPr>
            <w:r w:rsidRPr="00D21FB2">
              <w:rPr>
                <w:sz w:val="20"/>
              </w:rPr>
              <w:t>Balance general, estado de pérdidas y ganancias y las notas a los estados financieros</w:t>
            </w:r>
          </w:p>
        </w:tc>
      </w:tr>
      <w:tr w:rsidR="002164E4" w14:paraId="71D8ABC6" w14:textId="77777777" w:rsidTr="002164E4">
        <w:tc>
          <w:tcPr>
            <w:tcW w:w="0" w:type="auto"/>
            <w:vMerge w:val="restart"/>
            <w:tcBorders>
              <w:bottom w:val="nil"/>
              <w:right w:val="nil"/>
            </w:tcBorders>
            <w:tcMar>
              <w:top w:w="75" w:type="dxa"/>
              <w:left w:w="75" w:type="dxa"/>
              <w:bottom w:w="75" w:type="dxa"/>
              <w:right w:w="75" w:type="dxa"/>
            </w:tcMar>
            <w:vAlign w:val="center"/>
            <w:hideMark/>
          </w:tcPr>
          <w:p w14:paraId="256742F9" w14:textId="77777777" w:rsidR="002164E4" w:rsidRPr="00D21FB2" w:rsidRDefault="002164E4" w:rsidP="00D21FB2">
            <w:pPr>
              <w:jc w:val="center"/>
              <w:rPr>
                <w:sz w:val="20"/>
              </w:rPr>
            </w:pPr>
            <w:r w:rsidRPr="00D21FB2">
              <w:rPr>
                <w:sz w:val="20"/>
              </w:rPr>
              <w:t>Paso 6</w:t>
            </w:r>
          </w:p>
        </w:tc>
        <w:tc>
          <w:tcPr>
            <w:tcW w:w="0" w:type="auto"/>
            <w:vMerge w:val="restart"/>
            <w:tcBorders>
              <w:bottom w:val="nil"/>
              <w:right w:val="nil"/>
            </w:tcBorders>
            <w:tcMar>
              <w:top w:w="75" w:type="dxa"/>
              <w:left w:w="75" w:type="dxa"/>
              <w:bottom w:w="75" w:type="dxa"/>
              <w:right w:w="75" w:type="dxa"/>
            </w:tcMar>
            <w:vAlign w:val="center"/>
            <w:hideMark/>
          </w:tcPr>
          <w:p w14:paraId="05811683" w14:textId="68B5A619" w:rsidR="002164E4" w:rsidRPr="00D21FB2" w:rsidRDefault="002164E4">
            <w:pPr>
              <w:rPr>
                <w:sz w:val="20"/>
              </w:rPr>
            </w:pPr>
            <w:r w:rsidRPr="00D21FB2">
              <w:rPr>
                <w:sz w:val="20"/>
              </w:rPr>
              <w:t>Cálculo del coeficiente de valor añadido intelectual (VAIC</w:t>
            </w:r>
            <w:r w:rsidR="00D21FB2">
              <w:rPr>
                <w:sz w:val="20"/>
              </w:rPr>
              <w:t>)</w:t>
            </w:r>
          </w:p>
        </w:tc>
        <w:tc>
          <w:tcPr>
            <w:tcW w:w="0" w:type="auto"/>
            <w:tcBorders>
              <w:bottom w:val="nil"/>
              <w:right w:val="nil"/>
            </w:tcBorders>
            <w:tcMar>
              <w:top w:w="75" w:type="dxa"/>
              <w:left w:w="75" w:type="dxa"/>
              <w:bottom w:w="75" w:type="dxa"/>
              <w:right w:w="75" w:type="dxa"/>
            </w:tcMar>
            <w:vAlign w:val="center"/>
            <w:hideMark/>
          </w:tcPr>
          <w:p w14:paraId="44496114" w14:textId="77777777" w:rsidR="002164E4" w:rsidRPr="00D21FB2" w:rsidRDefault="002164E4">
            <w:pPr>
              <w:rPr>
                <w:sz w:val="20"/>
              </w:rPr>
            </w:pPr>
          </w:p>
        </w:tc>
        <w:tc>
          <w:tcPr>
            <w:tcW w:w="0" w:type="auto"/>
            <w:tcBorders>
              <w:bottom w:val="nil"/>
              <w:right w:val="nil"/>
            </w:tcBorders>
            <w:tcMar>
              <w:top w:w="75" w:type="dxa"/>
              <w:left w:w="75" w:type="dxa"/>
              <w:bottom w:w="75" w:type="dxa"/>
              <w:right w:w="75" w:type="dxa"/>
            </w:tcMar>
            <w:vAlign w:val="center"/>
            <w:hideMark/>
          </w:tcPr>
          <w:p w14:paraId="4E1E0CAA" w14:textId="77777777" w:rsidR="002164E4" w:rsidRPr="00D21FB2" w:rsidRDefault="002164E4">
            <w:pPr>
              <w:rPr>
                <w:sz w:val="20"/>
              </w:rPr>
            </w:pPr>
          </w:p>
        </w:tc>
      </w:tr>
      <w:tr w:rsidR="002164E4" w14:paraId="2DD5DDA0" w14:textId="77777777" w:rsidTr="002164E4">
        <w:tc>
          <w:tcPr>
            <w:tcW w:w="0" w:type="auto"/>
            <w:vMerge/>
            <w:tcBorders>
              <w:bottom w:val="nil"/>
              <w:right w:val="nil"/>
            </w:tcBorders>
            <w:vAlign w:val="center"/>
            <w:hideMark/>
          </w:tcPr>
          <w:p w14:paraId="2042B8DA" w14:textId="77777777" w:rsidR="002164E4" w:rsidRPr="00D21FB2" w:rsidRDefault="002164E4">
            <w:pPr>
              <w:rPr>
                <w:sz w:val="20"/>
              </w:rPr>
            </w:pPr>
          </w:p>
        </w:tc>
        <w:tc>
          <w:tcPr>
            <w:tcW w:w="0" w:type="auto"/>
            <w:vMerge/>
            <w:tcBorders>
              <w:bottom w:val="nil"/>
              <w:right w:val="nil"/>
            </w:tcBorders>
            <w:vAlign w:val="center"/>
            <w:hideMark/>
          </w:tcPr>
          <w:p w14:paraId="3ABA48A8" w14:textId="77777777" w:rsidR="002164E4" w:rsidRPr="00D21FB2" w:rsidRDefault="002164E4">
            <w:pPr>
              <w:rPr>
                <w:sz w:val="20"/>
              </w:rPr>
            </w:pPr>
          </w:p>
        </w:tc>
        <w:tc>
          <w:tcPr>
            <w:tcW w:w="0" w:type="auto"/>
            <w:tcBorders>
              <w:bottom w:val="nil"/>
              <w:right w:val="nil"/>
            </w:tcBorders>
            <w:tcMar>
              <w:top w:w="75" w:type="dxa"/>
              <w:left w:w="75" w:type="dxa"/>
              <w:bottom w:w="75" w:type="dxa"/>
              <w:right w:w="75" w:type="dxa"/>
            </w:tcMar>
            <w:vAlign w:val="center"/>
            <w:hideMark/>
          </w:tcPr>
          <w:p w14:paraId="1782171F" w14:textId="17CBA5AB" w:rsidR="002164E4" w:rsidRPr="00D21FB2" w:rsidRDefault="002164E4">
            <w:pPr>
              <w:rPr>
                <w:b/>
                <w:bCs/>
                <w:sz w:val="20"/>
              </w:rPr>
            </w:pPr>
            <w:r w:rsidRPr="00D21FB2">
              <w:rPr>
                <w:b/>
                <w:bCs/>
                <w:sz w:val="20"/>
              </w:rPr>
              <w:t>VAIC= ICE + CEE</w:t>
            </w:r>
          </w:p>
        </w:tc>
        <w:tc>
          <w:tcPr>
            <w:tcW w:w="0" w:type="auto"/>
            <w:tcBorders>
              <w:bottom w:val="nil"/>
              <w:right w:val="nil"/>
            </w:tcBorders>
            <w:tcMar>
              <w:top w:w="75" w:type="dxa"/>
              <w:left w:w="75" w:type="dxa"/>
              <w:bottom w:w="75" w:type="dxa"/>
              <w:right w:w="75" w:type="dxa"/>
            </w:tcMar>
            <w:vAlign w:val="center"/>
            <w:hideMark/>
          </w:tcPr>
          <w:p w14:paraId="74BDBBAD" w14:textId="77777777" w:rsidR="002164E4" w:rsidRPr="00D21FB2" w:rsidRDefault="002164E4">
            <w:pPr>
              <w:rPr>
                <w:sz w:val="20"/>
              </w:rPr>
            </w:pPr>
            <w:r w:rsidRPr="00D21FB2">
              <w:rPr>
                <w:sz w:val="20"/>
              </w:rPr>
              <w:t>ICE = coeficiente de eficiencia del capital intelectual</w:t>
            </w:r>
            <w:r w:rsidRPr="00D21FB2">
              <w:rPr>
                <w:sz w:val="20"/>
              </w:rPr>
              <w:br/>
              <w:t>CEE = coeficiente de eficiencia del capital empleado</w:t>
            </w:r>
          </w:p>
        </w:tc>
      </w:tr>
      <w:tr w:rsidR="002164E4" w14:paraId="62C7E68F" w14:textId="77777777" w:rsidTr="002164E4">
        <w:tc>
          <w:tcPr>
            <w:tcW w:w="0" w:type="auto"/>
            <w:vMerge/>
            <w:tcBorders>
              <w:bottom w:val="nil"/>
              <w:right w:val="nil"/>
            </w:tcBorders>
            <w:vAlign w:val="center"/>
            <w:hideMark/>
          </w:tcPr>
          <w:p w14:paraId="00A40DAF" w14:textId="77777777" w:rsidR="002164E4" w:rsidRPr="00D21FB2" w:rsidRDefault="002164E4">
            <w:pPr>
              <w:rPr>
                <w:sz w:val="20"/>
              </w:rPr>
            </w:pPr>
          </w:p>
        </w:tc>
        <w:tc>
          <w:tcPr>
            <w:tcW w:w="0" w:type="auto"/>
            <w:tcBorders>
              <w:bottom w:val="nil"/>
              <w:right w:val="nil"/>
            </w:tcBorders>
            <w:tcMar>
              <w:top w:w="75" w:type="dxa"/>
              <w:left w:w="75" w:type="dxa"/>
              <w:bottom w:w="75" w:type="dxa"/>
              <w:right w:w="75" w:type="dxa"/>
            </w:tcMar>
            <w:vAlign w:val="center"/>
            <w:hideMark/>
          </w:tcPr>
          <w:p w14:paraId="30AD9BC9" w14:textId="77777777" w:rsidR="002164E4" w:rsidRPr="00D21FB2" w:rsidRDefault="002164E4">
            <w:pPr>
              <w:rPr>
                <w:b/>
                <w:bCs/>
                <w:sz w:val="20"/>
              </w:rPr>
            </w:pPr>
            <w:r w:rsidRPr="00D21FB2">
              <w:rPr>
                <w:b/>
                <w:bCs/>
                <w:sz w:val="20"/>
              </w:rPr>
              <w:t>Fuente de consulta</w:t>
            </w:r>
          </w:p>
        </w:tc>
        <w:tc>
          <w:tcPr>
            <w:tcW w:w="0" w:type="auto"/>
            <w:gridSpan w:val="2"/>
            <w:tcBorders>
              <w:bottom w:val="nil"/>
              <w:right w:val="nil"/>
            </w:tcBorders>
            <w:tcMar>
              <w:top w:w="75" w:type="dxa"/>
              <w:left w:w="75" w:type="dxa"/>
              <w:bottom w:w="75" w:type="dxa"/>
              <w:right w:w="75" w:type="dxa"/>
            </w:tcMar>
            <w:vAlign w:val="center"/>
            <w:hideMark/>
          </w:tcPr>
          <w:p w14:paraId="0F3E441E" w14:textId="77777777" w:rsidR="002164E4" w:rsidRPr="00D21FB2" w:rsidRDefault="002164E4">
            <w:pPr>
              <w:rPr>
                <w:sz w:val="20"/>
              </w:rPr>
            </w:pPr>
            <w:r w:rsidRPr="00D21FB2">
              <w:rPr>
                <w:sz w:val="20"/>
              </w:rPr>
              <w:t>Balance general, estado de pérdidas y ganancias y las notas a los estados financieros</w:t>
            </w:r>
          </w:p>
        </w:tc>
      </w:tr>
    </w:tbl>
    <w:p w14:paraId="29E4F23A" w14:textId="7485EF8D" w:rsidR="002164E4" w:rsidRPr="00D21FB2" w:rsidRDefault="002164E4" w:rsidP="00D21FB2">
      <w:pPr>
        <w:jc w:val="right"/>
        <w:rPr>
          <w:szCs w:val="24"/>
        </w:rPr>
      </w:pPr>
      <w:r w:rsidRPr="00D21FB2">
        <w:rPr>
          <w:szCs w:val="24"/>
        </w:rPr>
        <w:t xml:space="preserve">Fuente: </w:t>
      </w:r>
      <w:bookmarkEnd w:id="3"/>
      <w:bookmarkEnd w:id="4"/>
      <w:bookmarkEnd w:id="5"/>
      <w:r w:rsidR="00D21FB2" w:rsidRPr="00D21FB2">
        <w:rPr>
          <w:szCs w:val="24"/>
        </w:rPr>
        <w:t>Villegas, Hernández y Salazar (2017)</w:t>
      </w:r>
    </w:p>
    <w:p w14:paraId="4C931F8A" w14:textId="77777777" w:rsidR="00F3141C" w:rsidRDefault="00F3141C" w:rsidP="00F3141C">
      <w:pPr>
        <w:spacing w:line="360" w:lineRule="auto"/>
        <w:jc w:val="both"/>
      </w:pPr>
    </w:p>
    <w:p w14:paraId="49679351" w14:textId="64850EFC" w:rsidR="00F3141C" w:rsidRDefault="0021497F" w:rsidP="00F3141C">
      <w:pPr>
        <w:spacing w:line="360" w:lineRule="auto"/>
        <w:jc w:val="both"/>
      </w:pPr>
      <w:r>
        <w:t xml:space="preserve">El modelo VAIC ha </w:t>
      </w:r>
      <w:r w:rsidR="00F3141C">
        <w:t>de</w:t>
      </w:r>
      <w:r>
        <w:t xml:space="preserve">mostrado ser una herramienta estratégica para aproximar el valor del </w:t>
      </w:r>
      <w:r w:rsidR="00F3141C">
        <w:t>CI</w:t>
      </w:r>
      <w:r>
        <w:t xml:space="preserve"> de una organización y proporcionar a la administración información sobre el valor de eficiencia de la empresa a través de sus activos intangibles utiliza</w:t>
      </w:r>
      <w:r w:rsidR="00F3141C">
        <w:t>ndo</w:t>
      </w:r>
      <w:r>
        <w:t xml:space="preserve"> indicadores financieros tradicionales que se determinan usualmente en las empresas.</w:t>
      </w:r>
      <w:r w:rsidR="00F3141C" w:rsidRPr="00F3141C">
        <w:t xml:space="preserve"> </w:t>
      </w:r>
      <w:r w:rsidR="000B78C4">
        <w:t>A</w:t>
      </w:r>
      <w:r w:rsidR="00F3141C">
        <w:t>sumiendo</w:t>
      </w:r>
      <w:r w:rsidR="000B78C4">
        <w:t xml:space="preserve"> a su vez,</w:t>
      </w:r>
      <w:r w:rsidR="00F3141C">
        <w:t xml:space="preserve"> que el </w:t>
      </w:r>
      <w:r w:rsidR="000B78C4">
        <w:t>CI</w:t>
      </w:r>
      <w:r w:rsidR="00F3141C">
        <w:t xml:space="preserve"> de una empresa influye positivamente en su desempeño, rentabilidad, capitalización y valor de mercado en el precio de sus acciones y por ende en su competitividad (Pardo-Cueva, </w:t>
      </w:r>
      <w:r w:rsidR="00466A4E">
        <w:t>Armas</w:t>
      </w:r>
      <w:r w:rsidR="00F3141C">
        <w:t xml:space="preserve"> y Chamba-Rueda, 2017).</w:t>
      </w:r>
    </w:p>
    <w:p w14:paraId="76F680B8" w14:textId="77777777" w:rsidR="00EA4A9A" w:rsidRDefault="00EA4A9A" w:rsidP="00F3141C">
      <w:pPr>
        <w:spacing w:line="360" w:lineRule="auto"/>
        <w:jc w:val="both"/>
        <w:rPr>
          <w:b/>
        </w:rPr>
      </w:pPr>
    </w:p>
    <w:p w14:paraId="5C2218C2" w14:textId="1AF7CF12" w:rsidR="005D4189" w:rsidRDefault="00DD7227" w:rsidP="005D4189">
      <w:pPr>
        <w:spacing w:line="360" w:lineRule="auto"/>
        <w:jc w:val="both"/>
        <w:rPr>
          <w:b/>
        </w:rPr>
      </w:pPr>
      <w:r>
        <w:rPr>
          <w:b/>
        </w:rPr>
        <w:lastRenderedPageBreak/>
        <w:t>3</w:t>
      </w:r>
      <w:r w:rsidR="005D4189" w:rsidRPr="009D6AA5">
        <w:rPr>
          <w:b/>
        </w:rPr>
        <w:t xml:space="preserve">.3 </w:t>
      </w:r>
      <w:r>
        <w:rPr>
          <w:b/>
        </w:rPr>
        <w:t>Valor Económico Agregado</w:t>
      </w:r>
      <w:r w:rsidR="005D4189" w:rsidRPr="009D6AA5">
        <w:rPr>
          <w:b/>
        </w:rPr>
        <w:t xml:space="preserve"> (EVA) </w:t>
      </w:r>
    </w:p>
    <w:p w14:paraId="2FCF9F29" w14:textId="6810CF4D" w:rsidR="00D353D3" w:rsidRPr="009D6AA5" w:rsidRDefault="00D353D3" w:rsidP="005D4189">
      <w:pPr>
        <w:spacing w:line="360" w:lineRule="auto"/>
        <w:jc w:val="both"/>
        <w:rPr>
          <w:b/>
        </w:rPr>
      </w:pPr>
      <w:r>
        <w:t xml:space="preserve">El </w:t>
      </w:r>
      <w:r w:rsidR="00AD4F4C">
        <w:t>EVA</w:t>
      </w:r>
      <w:r>
        <w:t xml:space="preserve"> es una herramienta financiera que podría </w:t>
      </w:r>
      <w:r w:rsidR="00D84A4B">
        <w:t>conceptualizarse</w:t>
      </w:r>
      <w:r>
        <w:t xml:space="preserve"> como el importe que queda </w:t>
      </w:r>
      <w:r w:rsidR="00D84A4B">
        <w:t xml:space="preserve">luego de </w:t>
      </w:r>
      <w:r>
        <w:t>deduci</w:t>
      </w:r>
      <w:r w:rsidR="00D84A4B">
        <w:t>rse</w:t>
      </w:r>
      <w:r>
        <w:t xml:space="preserve"> de los ingresos la totalidad de los gastos, incluidos el costo de oportunidad del capital y los impuestos. Es el resultado obtenido una vez se han cubierto todos los gastos y satisfecho una rentabilidad mínima esperada por parte de los accionistas (Amat, 2005)</w:t>
      </w:r>
      <w:r w:rsidR="00D84A4B">
        <w:t>.</w:t>
      </w:r>
    </w:p>
    <w:p w14:paraId="787BC54E" w14:textId="3B5CBD8A" w:rsidR="00EA4A9A" w:rsidRDefault="005D4189" w:rsidP="00A07CBA">
      <w:pPr>
        <w:spacing w:line="360" w:lineRule="auto"/>
        <w:jc w:val="both"/>
      </w:pPr>
      <w:r>
        <w:t>El modelo EVA, es un índice financiero que incorpora el cálculo del costo de los recursos que únicamente fueron utilizados para generar utilidades, proporcionando una medida del valor de una empresa como el resultado del beneficio neto después de impuestos menos el correspondiente cargo por el costo de capital que se encuentra invertido en la compañía (Cázares, Saavedra y Tapia</w:t>
      </w:r>
      <w:r w:rsidR="00E06E18">
        <w:t>, 2019</w:t>
      </w:r>
      <w:r>
        <w:t>), de ahí la importancia de establecer c</w:t>
      </w:r>
      <w:r w:rsidR="003500D4">
        <w:t>ó</w:t>
      </w:r>
      <w:r>
        <w:t>mo</w:t>
      </w:r>
      <w:r w:rsidR="00EA4A9A">
        <w:t xml:space="preserve"> es su relación</w:t>
      </w:r>
      <w:r>
        <w:t xml:space="preserve"> con el valor del </w:t>
      </w:r>
      <w:r w:rsidR="00A07CBA">
        <w:t>CI</w:t>
      </w:r>
      <w:r>
        <w:t xml:space="preserve"> y su eficiencia. </w:t>
      </w:r>
    </w:p>
    <w:p w14:paraId="0D9AC390" w14:textId="5A3C2784" w:rsidR="00E06E18" w:rsidRDefault="00273114" w:rsidP="00A07CBA">
      <w:pPr>
        <w:spacing w:line="360" w:lineRule="auto"/>
        <w:jc w:val="both"/>
      </w:pPr>
      <w:r>
        <w:t xml:space="preserve">Este método </w:t>
      </w:r>
      <w:r w:rsidR="00B248A6">
        <w:t>considera la productividad de todos los factores utilizados para realizar la actividad empresarial</w:t>
      </w:r>
      <w:r w:rsidR="00A90D83">
        <w:t xml:space="preserve"> permit</w:t>
      </w:r>
      <w:r>
        <w:t>iendo</w:t>
      </w:r>
      <w:r w:rsidR="00A90D83">
        <w:t xml:space="preserve"> medir cu</w:t>
      </w:r>
      <w:r w:rsidR="006B31C8">
        <w:t>á</w:t>
      </w:r>
      <w:r w:rsidR="00A90D83">
        <w:t>nta riqueza es creada o destruida en cada período de la vida de la empresa</w:t>
      </w:r>
      <w:r w:rsidR="006B31C8">
        <w:t xml:space="preserve"> (</w:t>
      </w:r>
      <w:proofErr w:type="spellStart"/>
      <w:r w:rsidR="006B31C8">
        <w:t>Dumrauf</w:t>
      </w:r>
      <w:proofErr w:type="spellEnd"/>
      <w:r w:rsidR="006B31C8">
        <w:t>, 201</w:t>
      </w:r>
      <w:r w:rsidR="00EB0D8F">
        <w:t>0</w:t>
      </w:r>
      <w:r w:rsidR="006B31C8">
        <w:t>) y cuál es el aporte del CI en la creación de ese valor</w:t>
      </w:r>
      <w:r w:rsidR="00A90D83">
        <w:t xml:space="preserve">. </w:t>
      </w:r>
    </w:p>
    <w:p w14:paraId="753769B3" w14:textId="639F7B15" w:rsidR="00A07CBA" w:rsidRDefault="00A90D83" w:rsidP="00A07CBA">
      <w:pPr>
        <w:spacing w:line="360" w:lineRule="auto"/>
        <w:jc w:val="both"/>
      </w:pPr>
      <w:r>
        <w:t>Por tanto, s</w:t>
      </w:r>
      <w:r w:rsidR="00B248A6">
        <w:t>i el resultado del cálculo del EVA es positivo: se crea valor</w:t>
      </w:r>
      <w:r>
        <w:t xml:space="preserve"> y s</w:t>
      </w:r>
      <w:r w:rsidR="00B248A6">
        <w:t xml:space="preserve">i el resultado del cálculo del EVA es negativo: se destruye valor </w:t>
      </w:r>
      <w:r w:rsidR="00A07CBA">
        <w:t>(Li, 2010)</w:t>
      </w:r>
      <w:r w:rsidR="00B248A6">
        <w:t>.</w:t>
      </w:r>
    </w:p>
    <w:p w14:paraId="231CA6DE" w14:textId="35BC4685" w:rsidR="005D4189" w:rsidRDefault="00B248A6" w:rsidP="005D4189">
      <w:pPr>
        <w:spacing w:line="360" w:lineRule="auto"/>
        <w:jc w:val="both"/>
      </w:pPr>
      <w:r>
        <w:t>Existen dos métodos</w:t>
      </w:r>
      <w:r w:rsidR="005D4189">
        <w:t xml:space="preserve"> para calcular el EVA (Saavedra, 2004): </w:t>
      </w:r>
    </w:p>
    <w:p w14:paraId="1D3A44B4" w14:textId="77764263" w:rsidR="005D4189" w:rsidRPr="00DA1625" w:rsidRDefault="005D4189" w:rsidP="005D4189">
      <w:pPr>
        <w:pStyle w:val="Prrafodelista"/>
        <w:numPr>
          <w:ilvl w:val="0"/>
          <w:numId w:val="28"/>
        </w:numPr>
        <w:spacing w:line="360" w:lineRule="auto"/>
        <w:jc w:val="both"/>
        <w:rPr>
          <w:sz w:val="22"/>
          <w:szCs w:val="22"/>
        </w:rPr>
      </w:pPr>
      <w:r w:rsidRPr="00B248A6">
        <w:rPr>
          <w:i/>
        </w:rPr>
        <w:t>Método Diferencial (de Spread)</w:t>
      </w:r>
      <w:r w:rsidR="00B248A6" w:rsidRPr="00B248A6">
        <w:rPr>
          <w:i/>
        </w:rPr>
        <w:t>:</w:t>
      </w:r>
      <w:r>
        <w:t xml:space="preserve"> es la diferencia entre la tasa de rendimiento del capital y el costo promedio ponderado</w:t>
      </w:r>
      <w:r w:rsidR="00273114">
        <w:t xml:space="preserve"> del capital (CPPC)</w:t>
      </w:r>
      <w:r>
        <w:t xml:space="preserve">. Para obtener el EVA, se debe multiplicar este diferencial por el capital invertido: </w:t>
      </w:r>
    </w:p>
    <w:p w14:paraId="5F6A6DC1" w14:textId="539C45EE" w:rsidR="005D4189" w:rsidRPr="00B248A6" w:rsidRDefault="005D4189" w:rsidP="00B248A6">
      <w:pPr>
        <w:pStyle w:val="Prrafodelista"/>
        <w:spacing w:line="360" w:lineRule="auto"/>
        <w:jc w:val="center"/>
        <w:rPr>
          <w:b/>
        </w:rPr>
      </w:pPr>
      <w:r w:rsidRPr="00B248A6">
        <w:rPr>
          <w:b/>
        </w:rPr>
        <w:t>EVA = (R –CP</w:t>
      </w:r>
      <w:r w:rsidR="00273114">
        <w:rPr>
          <w:b/>
        </w:rPr>
        <w:t>PC</w:t>
      </w:r>
      <w:r w:rsidRPr="00B248A6">
        <w:rPr>
          <w:b/>
        </w:rPr>
        <w:t>) * capital invertido</w:t>
      </w:r>
    </w:p>
    <w:p w14:paraId="11016014" w14:textId="7697C62D" w:rsidR="005D4189" w:rsidRPr="00DA1625" w:rsidRDefault="005D4189" w:rsidP="005D4189">
      <w:pPr>
        <w:pStyle w:val="Prrafodelista"/>
        <w:numPr>
          <w:ilvl w:val="0"/>
          <w:numId w:val="28"/>
        </w:numPr>
        <w:spacing w:line="360" w:lineRule="auto"/>
        <w:jc w:val="both"/>
        <w:rPr>
          <w:sz w:val="22"/>
          <w:szCs w:val="22"/>
        </w:rPr>
      </w:pPr>
      <w:r w:rsidRPr="00B248A6">
        <w:rPr>
          <w:i/>
        </w:rPr>
        <w:t>Método residual</w:t>
      </w:r>
      <w:r w:rsidR="00B248A6" w:rsidRPr="00B248A6">
        <w:rPr>
          <w:i/>
        </w:rPr>
        <w:t>:</w:t>
      </w:r>
      <w:r>
        <w:t xml:space="preserve"> Para calcular el EVA con este método se debe obtener la utilidad operativa neta después de impuestos (UNODI), al que se debe restar el cargo por el uso del capital: </w:t>
      </w:r>
    </w:p>
    <w:p w14:paraId="7CCFA65F" w14:textId="2E8081D2" w:rsidR="005D4189" w:rsidRPr="00875199" w:rsidRDefault="005D4189" w:rsidP="00875199">
      <w:pPr>
        <w:pStyle w:val="Prrafodelista"/>
        <w:spacing w:line="360" w:lineRule="auto"/>
        <w:jc w:val="center"/>
        <w:rPr>
          <w:b/>
          <w:sz w:val="22"/>
          <w:szCs w:val="22"/>
        </w:rPr>
      </w:pPr>
      <w:r w:rsidRPr="00875199">
        <w:rPr>
          <w:b/>
        </w:rPr>
        <w:t>EVA= UNODI – (Capital invertido * CPP</w:t>
      </w:r>
      <w:r w:rsidR="00273114">
        <w:rPr>
          <w:b/>
        </w:rPr>
        <w:t>C</w:t>
      </w:r>
      <w:r w:rsidRPr="00875199">
        <w:rPr>
          <w:b/>
        </w:rPr>
        <w:t>)</w:t>
      </w:r>
    </w:p>
    <w:p w14:paraId="035300EA" w14:textId="1FA8ED3B" w:rsidR="00875199" w:rsidRDefault="00875199" w:rsidP="009032C7">
      <w:pPr>
        <w:spacing w:line="360" w:lineRule="auto"/>
        <w:jc w:val="both"/>
      </w:pPr>
    </w:p>
    <w:p w14:paraId="476108C5" w14:textId="318F719B" w:rsidR="00E06E18" w:rsidRPr="00CA0DE8" w:rsidRDefault="00EA4A9A" w:rsidP="00E06E18">
      <w:pPr>
        <w:spacing w:line="360" w:lineRule="auto"/>
        <w:jc w:val="both"/>
        <w:rPr>
          <w:szCs w:val="24"/>
        </w:rPr>
      </w:pPr>
      <w:r>
        <w:t xml:space="preserve">El </w:t>
      </w:r>
      <w:r w:rsidR="009D6AA5">
        <w:t xml:space="preserve">principal </w:t>
      </w:r>
      <w:r>
        <w:t>aporte</w:t>
      </w:r>
      <w:r w:rsidR="009D6AA5">
        <w:t xml:space="preserve"> del EVA </w:t>
      </w:r>
      <w:r>
        <w:t>y la diferencia</w:t>
      </w:r>
      <w:r w:rsidR="002E17CF">
        <w:t xml:space="preserve"> fundamental</w:t>
      </w:r>
      <w:r>
        <w:t xml:space="preserve"> con el resto de indicadores dedicados a determinar </w:t>
      </w:r>
      <w:r w:rsidR="002E17CF">
        <w:t xml:space="preserve">el valor de una empresa es </w:t>
      </w:r>
      <w:r w:rsidR="009D6AA5">
        <w:t xml:space="preserve">la incorporación del </w:t>
      </w:r>
      <w:r w:rsidR="00273114">
        <w:t>CPPC</w:t>
      </w:r>
      <w:r w:rsidR="009D6AA5">
        <w:t xml:space="preserve"> en el cálculo del resultado del </w:t>
      </w:r>
      <w:r w:rsidR="002E17CF">
        <w:t>n</w:t>
      </w:r>
      <w:r w:rsidR="009D6AA5">
        <w:t>egocio</w:t>
      </w:r>
      <w:r w:rsidR="002E17CF">
        <w:t>. La filosofía que sustenta al EVA sostiene que todo capital tiene un costo para la empresa, sin importar quién sea el proveedor de los fondos: si fue aportado por los dueños, estos requerirán una retribución mínima por su sacrificio inmovilizando fondos en este negocio -dejándolos así indisponibles para otros usos alternativos</w:t>
      </w:r>
      <w:r w:rsidR="00A90D83">
        <w:t>-,</w:t>
      </w:r>
      <w:r w:rsidR="002E17CF">
        <w:t xml:space="preserve"> o por terceros, </w:t>
      </w:r>
      <w:r w:rsidR="00A90D83">
        <w:t>representados por</w:t>
      </w:r>
      <w:r w:rsidR="002E17CF">
        <w:t xml:space="preserve"> los intereses que cobran</w:t>
      </w:r>
      <w:r w:rsidR="00A90D83">
        <w:t xml:space="preserve"> </w:t>
      </w:r>
      <w:r w:rsidR="002E17CF">
        <w:t>(</w:t>
      </w:r>
      <w:proofErr w:type="spellStart"/>
      <w:r w:rsidR="002E17CF">
        <w:t>Smolje</w:t>
      </w:r>
      <w:proofErr w:type="spellEnd"/>
      <w:r w:rsidR="002E17CF">
        <w:t>, 2003)</w:t>
      </w:r>
      <w:r w:rsidR="00A90D83">
        <w:t>.</w:t>
      </w:r>
      <w:r w:rsidR="009D6AA5">
        <w:t xml:space="preserve"> </w:t>
      </w:r>
      <w:r w:rsidR="00E06E18">
        <w:t xml:space="preserve">Por ende, este modelo propone </w:t>
      </w:r>
      <w:r w:rsidR="00F53C22">
        <w:t xml:space="preserve">según Arias, López y Duque (2012) </w:t>
      </w:r>
      <w:r w:rsidR="00E06E18">
        <w:t xml:space="preserve">que los recursos empleados por una empresa o unidad estratégica de negocio </w:t>
      </w:r>
      <w:r w:rsidR="00E06E18">
        <w:lastRenderedPageBreak/>
        <w:t>debe producir una rentabilidad superior a su costo, de no ser así; desde el punto de vista estratégico es mejor pasar los bienes utilizados a otra actividad</w:t>
      </w:r>
      <w:r w:rsidR="00F53C22">
        <w:t>.</w:t>
      </w:r>
    </w:p>
    <w:p w14:paraId="756EDA28" w14:textId="1375267D" w:rsidR="00221042" w:rsidRDefault="00D84A4B" w:rsidP="00AC7586">
      <w:pPr>
        <w:spacing w:line="360" w:lineRule="auto"/>
        <w:jc w:val="both"/>
      </w:pPr>
      <w:r>
        <w:t>Esta métrica financiera se ha utilizado últimamente para</w:t>
      </w:r>
      <w:r w:rsidR="00F53C22">
        <w:t xml:space="preserve"> cuantificar</w:t>
      </w:r>
      <w:r>
        <w:t xml:space="preserve"> la </w:t>
      </w:r>
      <w:r w:rsidR="00F53C22">
        <w:t>gestión</w:t>
      </w:r>
      <w:r>
        <w:t xml:space="preserve"> de valor dentro de las empresas, lo cual permite a la administración la oportuna toma de decisiones para mejorar los resultados, buscando siempre obtener el objetivo de todas las empresas que es la generación de valor</w:t>
      </w:r>
      <w:r w:rsidR="003A0785">
        <w:t xml:space="preserve"> (Arias, López y Duque, 2012)</w:t>
      </w:r>
      <w:r>
        <w:t xml:space="preserve">. </w:t>
      </w:r>
    </w:p>
    <w:p w14:paraId="673ACF39" w14:textId="77777777" w:rsidR="00A46C4F" w:rsidRDefault="00A46C4F" w:rsidP="00AC7586">
      <w:pPr>
        <w:spacing w:line="360" w:lineRule="auto"/>
        <w:jc w:val="both"/>
        <w:rPr>
          <w:b/>
          <w:szCs w:val="24"/>
        </w:rPr>
      </w:pPr>
    </w:p>
    <w:p w14:paraId="2300FAD6" w14:textId="0FEF16FB" w:rsidR="00AC7586" w:rsidRDefault="00AC7586" w:rsidP="00AC7586">
      <w:pPr>
        <w:spacing w:line="360" w:lineRule="auto"/>
        <w:jc w:val="both"/>
        <w:rPr>
          <w:b/>
          <w:szCs w:val="24"/>
        </w:rPr>
      </w:pPr>
      <w:r w:rsidRPr="00CA0DE8">
        <w:rPr>
          <w:b/>
          <w:szCs w:val="24"/>
        </w:rPr>
        <w:t xml:space="preserve">4- Complementación del Navegador </w:t>
      </w:r>
      <w:proofErr w:type="spellStart"/>
      <w:r w:rsidRPr="00CA0DE8">
        <w:rPr>
          <w:b/>
          <w:szCs w:val="24"/>
        </w:rPr>
        <w:t>Skandia</w:t>
      </w:r>
      <w:proofErr w:type="spellEnd"/>
      <w:r w:rsidRPr="00CA0DE8">
        <w:rPr>
          <w:b/>
          <w:szCs w:val="24"/>
        </w:rPr>
        <w:t>, el VAIC y el EVA</w:t>
      </w:r>
      <w:r w:rsidRPr="00CA0DE8">
        <w:rPr>
          <w:b/>
          <w:szCs w:val="24"/>
          <w:lang w:val="es-AR"/>
        </w:rPr>
        <w:t xml:space="preserve"> para producir información </w:t>
      </w:r>
      <w:r w:rsidRPr="00CA0DE8">
        <w:rPr>
          <w:b/>
          <w:szCs w:val="24"/>
        </w:rPr>
        <w:t xml:space="preserve">más completa sobre el CI y la generación de valor empresarial </w:t>
      </w:r>
    </w:p>
    <w:p w14:paraId="06C3394C" w14:textId="7ED69B37" w:rsidR="00AF5974" w:rsidRDefault="00AF5974" w:rsidP="00AC7586">
      <w:pPr>
        <w:spacing w:line="360" w:lineRule="auto"/>
        <w:jc w:val="both"/>
        <w:rPr>
          <w:szCs w:val="24"/>
        </w:rPr>
      </w:pPr>
      <w:r w:rsidRPr="00AF5974">
        <w:rPr>
          <w:szCs w:val="24"/>
        </w:rPr>
        <w:t>Existen</w:t>
      </w:r>
      <w:r>
        <w:rPr>
          <w:szCs w:val="24"/>
        </w:rPr>
        <w:t xml:space="preserve"> ciertos estudios empíricos que se dedicaron a comprobar la relación y complementariedad entre los diferentes métodos de medición de CI antes descritos (</w:t>
      </w:r>
      <w:proofErr w:type="spellStart"/>
      <w:r>
        <w:rPr>
          <w:szCs w:val="24"/>
        </w:rPr>
        <w:t>Demuner</w:t>
      </w:r>
      <w:proofErr w:type="spellEnd"/>
      <w:r>
        <w:rPr>
          <w:szCs w:val="24"/>
        </w:rPr>
        <w:t>, Saavedra y Camarena, 2017; Cayetano y Saavedra, 2020).</w:t>
      </w:r>
    </w:p>
    <w:p w14:paraId="7BBFBC28" w14:textId="57DC7B02" w:rsidR="00AC7586" w:rsidRDefault="00C134CB" w:rsidP="009032C7">
      <w:pPr>
        <w:spacing w:line="360" w:lineRule="auto"/>
        <w:jc w:val="both"/>
        <w:rPr>
          <w:szCs w:val="24"/>
        </w:rPr>
      </w:pPr>
      <w:r>
        <w:t>Los resultados</w:t>
      </w:r>
      <w:r w:rsidR="00AF5974">
        <w:t xml:space="preserve"> de dichas investigaciones</w:t>
      </w:r>
      <w:r>
        <w:t xml:space="preserve"> </w:t>
      </w:r>
      <w:r w:rsidR="003C2F95">
        <w:t>revelaron</w:t>
      </w:r>
      <w:r>
        <w:t xml:space="preserve"> que la correlación entre el valor del </w:t>
      </w:r>
      <w:r w:rsidR="00AF5974">
        <w:t>CI</w:t>
      </w:r>
      <w:r>
        <w:t xml:space="preserve"> (</w:t>
      </w:r>
      <w:r w:rsidR="00AF5974">
        <w:t xml:space="preserve">obtenido a través del </w:t>
      </w:r>
      <w:r>
        <w:t xml:space="preserve">modelo </w:t>
      </w:r>
      <w:proofErr w:type="spellStart"/>
      <w:r>
        <w:t>Skandia</w:t>
      </w:r>
      <w:proofErr w:type="spellEnd"/>
      <w:r>
        <w:t>) y el EVA es positiva y fuerte</w:t>
      </w:r>
      <w:r w:rsidR="00CC7700">
        <w:t xml:space="preserve"> (Cayetano y Saavedra, 2020)</w:t>
      </w:r>
      <w:r w:rsidR="003C2F95">
        <w:t>, l</w:t>
      </w:r>
      <w:r w:rsidR="00CC7700">
        <w:t>o que</w:t>
      </w:r>
      <w:r w:rsidR="00AF5974">
        <w:t xml:space="preserve"> </w:t>
      </w:r>
      <w:r w:rsidR="003C2F95">
        <w:t>aporta nuevas evidencias en favor de la estrecha r</w:t>
      </w:r>
      <w:r>
        <w:t xml:space="preserve">elación </w:t>
      </w:r>
      <w:r w:rsidR="003C2F95">
        <w:t xml:space="preserve">existente </w:t>
      </w:r>
      <w:r>
        <w:t xml:space="preserve">entre </w:t>
      </w:r>
      <w:r w:rsidR="00AF5974">
        <w:t>CI</w:t>
      </w:r>
      <w:r>
        <w:t xml:space="preserve"> y genera</w:t>
      </w:r>
      <w:r w:rsidR="006D30CC">
        <w:t>ción de valor, habida cuenta de</w:t>
      </w:r>
      <w:r w:rsidR="006D309E">
        <w:t xml:space="preserve"> que</w:t>
      </w:r>
      <w:r w:rsidR="006D30CC">
        <w:t xml:space="preserve"> esta última</w:t>
      </w:r>
      <w:r w:rsidR="004F3252">
        <w:t xml:space="preserve"> está fundamentalmente predeterminada por el CI</w:t>
      </w:r>
      <w:r w:rsidR="006D30CC">
        <w:t xml:space="preserve">, </w:t>
      </w:r>
      <w:r w:rsidR="00CC7700">
        <w:t>haciendo</w:t>
      </w:r>
      <w:r w:rsidR="004F3252">
        <w:t xml:space="preserve"> a</w:t>
      </w:r>
      <w:r w:rsidR="00CC7700">
        <w:t xml:space="preserve"> </w:t>
      </w:r>
      <w:r w:rsidR="004F3252">
        <w:t>l</w:t>
      </w:r>
      <w:r w:rsidR="00CC7700">
        <w:t>a</w:t>
      </w:r>
      <w:r w:rsidR="004F3252">
        <w:t xml:space="preserve"> propi</w:t>
      </w:r>
      <w:r w:rsidR="00CC7700">
        <w:t>a</w:t>
      </w:r>
      <w:r w:rsidR="004F3252">
        <w:t xml:space="preserve"> </w:t>
      </w:r>
      <w:r w:rsidR="00CC7700">
        <w:t>naturaleza</w:t>
      </w:r>
      <w:r w:rsidR="004F3252">
        <w:t xml:space="preserve"> del </w:t>
      </w:r>
      <w:r w:rsidR="009A1B3B">
        <w:t>mismo.</w:t>
      </w:r>
      <w:r w:rsidR="006D30CC">
        <w:t xml:space="preserve"> Cuando</w:t>
      </w:r>
      <w:r w:rsidR="00CC7700">
        <w:t xml:space="preserve"> el valor </w:t>
      </w:r>
      <w:r w:rsidR="009A1B3B">
        <w:t xml:space="preserve">determinado por el modelo </w:t>
      </w:r>
      <w:proofErr w:type="spellStart"/>
      <w:r w:rsidR="009A1B3B">
        <w:t>Skandia</w:t>
      </w:r>
      <w:proofErr w:type="spellEnd"/>
      <w:r w:rsidR="009A1B3B">
        <w:t xml:space="preserve"> </w:t>
      </w:r>
      <w:r w:rsidR="00CC7700">
        <w:t xml:space="preserve">es mayor a cero y el EVA también lo es, </w:t>
      </w:r>
      <w:r w:rsidR="006D30CC">
        <w:t>se</w:t>
      </w:r>
      <w:r w:rsidR="00CC7700">
        <w:t xml:space="preserve"> demuestra la consistencia de ambos métodos puesto que se estaría midiendo el mismo concepto, que no es más que el CI.</w:t>
      </w:r>
      <w:r w:rsidR="004F3252">
        <w:t xml:space="preserve"> </w:t>
      </w:r>
      <w:r>
        <w:t xml:space="preserve"> </w:t>
      </w:r>
      <w:r w:rsidR="006D30CC">
        <w:t>Así</w:t>
      </w:r>
      <w:r w:rsidR="00CC7700">
        <w:t xml:space="preserve">, </w:t>
      </w:r>
      <w:r w:rsidR="006D30CC">
        <w:t xml:space="preserve">tal y como señalan </w:t>
      </w:r>
      <w:r w:rsidR="00CC7700">
        <w:t>Cayetano y Saavedra (2020)</w:t>
      </w:r>
      <w:r w:rsidR="006D30CC">
        <w:t xml:space="preserve">, </w:t>
      </w:r>
      <w:r w:rsidR="00CC7700">
        <w:t>c</w:t>
      </w:r>
      <w:r>
        <w:t>on el fin de mejorar el valor de la empresa</w:t>
      </w:r>
      <w:r w:rsidR="00CC7700">
        <w:t xml:space="preserve"> será necesario impulsar el CI.</w:t>
      </w:r>
    </w:p>
    <w:p w14:paraId="0B9C7DAF" w14:textId="44975B3E" w:rsidR="009374B1" w:rsidRDefault="00D96258" w:rsidP="009032C7">
      <w:pPr>
        <w:spacing w:line="360" w:lineRule="auto"/>
        <w:jc w:val="both"/>
      </w:pPr>
      <w:r>
        <w:t xml:space="preserve">Por otro lado, los estudios también revelan que los </w:t>
      </w:r>
      <w:r w:rsidR="00C134CB">
        <w:t xml:space="preserve">modelos </w:t>
      </w:r>
      <w:proofErr w:type="spellStart"/>
      <w:r w:rsidR="00C134CB">
        <w:t>Skandia</w:t>
      </w:r>
      <w:proofErr w:type="spellEnd"/>
      <w:r w:rsidR="00C134CB">
        <w:t xml:space="preserve"> y </w:t>
      </w:r>
      <w:r w:rsidR="004D5B21">
        <w:t xml:space="preserve">VAIC </w:t>
      </w:r>
      <w:r w:rsidR="00C134CB">
        <w:t xml:space="preserve">se complementan, dado que el primero sirve para determinar el valor monetario del </w:t>
      </w:r>
      <w:r w:rsidR="004D5B21">
        <w:t>CI</w:t>
      </w:r>
      <w:r w:rsidR="00C134CB">
        <w:t xml:space="preserve">, identificando el aporte de cada componente, mientras que el segundo determina la eficiencia del </w:t>
      </w:r>
      <w:r w:rsidR="004D5B21">
        <w:t>CI</w:t>
      </w:r>
      <w:r w:rsidR="00C134CB">
        <w:t xml:space="preserve">, </w:t>
      </w:r>
      <w:r w:rsidR="00751D6E">
        <w:t>detallado por compo</w:t>
      </w:r>
      <w:r w:rsidR="00C134CB">
        <w:t>nente y mostrando así la consistencia de ambos indicadores</w:t>
      </w:r>
      <w:r w:rsidR="004D5B21">
        <w:t xml:space="preserve"> </w:t>
      </w:r>
      <w:r w:rsidR="00C134CB">
        <w:t>(</w:t>
      </w:r>
      <w:proofErr w:type="spellStart"/>
      <w:r w:rsidR="00B21C01">
        <w:t>Demuner</w:t>
      </w:r>
      <w:proofErr w:type="spellEnd"/>
      <w:r w:rsidR="00B21C01">
        <w:t>, Saavedra, Camarena, 2017).</w:t>
      </w:r>
      <w:r w:rsidR="004F27C4">
        <w:t xml:space="preserve"> </w:t>
      </w:r>
    </w:p>
    <w:p w14:paraId="364B1289" w14:textId="6A1305F6" w:rsidR="009374B1" w:rsidRDefault="004F27C4" w:rsidP="009032C7">
      <w:pPr>
        <w:spacing w:line="360" w:lineRule="auto"/>
        <w:jc w:val="both"/>
      </w:pPr>
      <w:r>
        <w:t xml:space="preserve">Los resultados de ambos modelos </w:t>
      </w:r>
      <w:r w:rsidR="00B21C01">
        <w:t xml:space="preserve">reflejan la importancia que el </w:t>
      </w:r>
      <w:r>
        <w:t xml:space="preserve">CI </w:t>
      </w:r>
      <w:r w:rsidR="00B21C01">
        <w:t>tiene en la nueva economía y</w:t>
      </w:r>
      <w:r>
        <w:t xml:space="preserve"> proponen al </w:t>
      </w:r>
      <w:r w:rsidR="00AC252F">
        <w:t>CH</w:t>
      </w:r>
      <w:r>
        <w:t xml:space="preserve"> como el componente más importante</w:t>
      </w:r>
      <w:r w:rsidR="00B21C01">
        <w:t xml:space="preserve">. </w:t>
      </w:r>
      <w:r w:rsidR="002255FE">
        <w:t xml:space="preserve">De esta manera, el desafío de las compañías en la nueva era del conocimiento será que las capacidades, habilidades y saberes </w:t>
      </w:r>
      <w:r w:rsidR="00B21C01">
        <w:t>que poseen los integrantes de una organización se convierta</w:t>
      </w:r>
      <w:r w:rsidR="002255FE">
        <w:t>n</w:t>
      </w:r>
      <w:r w:rsidR="00B21C01">
        <w:t xml:space="preserve"> en </w:t>
      </w:r>
      <w:r w:rsidR="002255FE">
        <w:t>CI</w:t>
      </w:r>
      <w:r w:rsidR="00B21C01">
        <w:t xml:space="preserve">, </w:t>
      </w:r>
      <w:r w:rsidR="002255FE">
        <w:t xml:space="preserve">con el propósito de </w:t>
      </w:r>
      <w:r w:rsidR="00B21C01">
        <w:t xml:space="preserve">transformar en acción la creación de valor que causará una reacción en el mercado. </w:t>
      </w:r>
    </w:p>
    <w:p w14:paraId="411DF830" w14:textId="77777777" w:rsidR="006D30CC" w:rsidRDefault="006D30CC" w:rsidP="009D0C70">
      <w:pPr>
        <w:spacing w:line="360" w:lineRule="auto"/>
        <w:jc w:val="both"/>
        <w:rPr>
          <w:b/>
          <w:szCs w:val="24"/>
        </w:rPr>
      </w:pPr>
    </w:p>
    <w:p w14:paraId="538B3C5F" w14:textId="77777777" w:rsidR="006D309E" w:rsidRDefault="006D309E" w:rsidP="009D0C70">
      <w:pPr>
        <w:spacing w:line="360" w:lineRule="auto"/>
        <w:jc w:val="both"/>
        <w:rPr>
          <w:b/>
          <w:szCs w:val="24"/>
        </w:rPr>
      </w:pPr>
    </w:p>
    <w:p w14:paraId="2254970A" w14:textId="77777777" w:rsidR="006D309E" w:rsidRDefault="006D309E" w:rsidP="009D0C70">
      <w:pPr>
        <w:spacing w:line="360" w:lineRule="auto"/>
        <w:jc w:val="both"/>
        <w:rPr>
          <w:b/>
          <w:szCs w:val="24"/>
        </w:rPr>
      </w:pPr>
    </w:p>
    <w:p w14:paraId="1F1AF288" w14:textId="77777777" w:rsidR="006D309E" w:rsidRDefault="006D309E" w:rsidP="009D0C70">
      <w:pPr>
        <w:spacing w:line="360" w:lineRule="auto"/>
        <w:jc w:val="both"/>
        <w:rPr>
          <w:b/>
          <w:szCs w:val="24"/>
        </w:rPr>
      </w:pPr>
    </w:p>
    <w:p w14:paraId="1FC83D02" w14:textId="223324E4" w:rsidR="009D0C70" w:rsidRDefault="009D0C70" w:rsidP="009D0C70">
      <w:pPr>
        <w:spacing w:line="360" w:lineRule="auto"/>
        <w:jc w:val="both"/>
        <w:rPr>
          <w:b/>
          <w:color w:val="FF0000"/>
          <w:szCs w:val="24"/>
        </w:rPr>
      </w:pPr>
      <w:r>
        <w:rPr>
          <w:b/>
          <w:szCs w:val="24"/>
        </w:rPr>
        <w:lastRenderedPageBreak/>
        <w:t xml:space="preserve">Conclusiones </w:t>
      </w:r>
    </w:p>
    <w:p w14:paraId="696AB981" w14:textId="77777777" w:rsidR="006D309E" w:rsidRDefault="006D309E" w:rsidP="009D0C70">
      <w:pPr>
        <w:spacing w:line="360" w:lineRule="auto"/>
        <w:jc w:val="both"/>
      </w:pPr>
    </w:p>
    <w:p w14:paraId="424E447E" w14:textId="4067CE86" w:rsidR="009F6910" w:rsidRDefault="007A7FF0" w:rsidP="009D0C70">
      <w:pPr>
        <w:spacing w:line="360" w:lineRule="auto"/>
        <w:jc w:val="both"/>
      </w:pPr>
      <w:r>
        <w:t xml:space="preserve">Los </w:t>
      </w:r>
      <w:r w:rsidR="00D15FD2">
        <w:t>continuos cambios que se producen en la forma de administrar las organizaciones en la actualidad, en gran parte por</w:t>
      </w:r>
      <w:r w:rsidR="009F6910">
        <w:t xml:space="preserve"> contar con una clientela </w:t>
      </w:r>
      <w:r w:rsidR="00D15FD2">
        <w:t>con más acceso a la información del entorno, educada</w:t>
      </w:r>
      <w:r w:rsidR="009F6910">
        <w:t xml:space="preserve"> y muy exigente, hacen que las empresas de los numerosos sectores en el ámbito mundial </w:t>
      </w:r>
      <w:r w:rsidR="005B1993">
        <w:t>se vean obligada</w:t>
      </w:r>
      <w:r w:rsidR="00D15FD2">
        <w:t>s a ajustar sus acciones y estrategias</w:t>
      </w:r>
      <w:r w:rsidR="00D72E37">
        <w:t xml:space="preserve"> hacia el objetivo de crear valor</w:t>
      </w:r>
      <w:r w:rsidR="00D15FD2">
        <w:t>.</w:t>
      </w:r>
      <w:r w:rsidR="009F6910">
        <w:t xml:space="preserve"> La necesidad de ser eficientes y eficaces en estos tiempos, </w:t>
      </w:r>
      <w:r w:rsidR="00D72E37">
        <w:t xml:space="preserve">manteniendo ventajas competitivas </w:t>
      </w:r>
      <w:r w:rsidR="009F6910">
        <w:t>para poder ser siemp</w:t>
      </w:r>
      <w:r w:rsidR="005B1993">
        <w:t xml:space="preserve">re atractivos a los inversores, </w:t>
      </w:r>
      <w:r w:rsidR="009F6910">
        <w:t>ha</w:t>
      </w:r>
      <w:r w:rsidR="00D15FD2">
        <w:t xml:space="preserve"> </w:t>
      </w:r>
      <w:r w:rsidR="00D72E37">
        <w:t>llevado a que l</w:t>
      </w:r>
      <w:r w:rsidR="00847DFD">
        <w:t xml:space="preserve">as gerencias </w:t>
      </w:r>
      <w:r w:rsidR="00D72E37">
        <w:t xml:space="preserve">comiencen a identificar otros factores no contables que ayudan a la creación de ese valor, revelándose como principal componente el CI. </w:t>
      </w:r>
    </w:p>
    <w:p w14:paraId="426BE7E4" w14:textId="78E40B9D" w:rsidR="00E11EA2" w:rsidRDefault="005B1993" w:rsidP="0005438E">
      <w:pPr>
        <w:spacing w:line="360" w:lineRule="auto"/>
        <w:jc w:val="both"/>
      </w:pPr>
      <w:r>
        <w:t>L</w:t>
      </w:r>
      <w:r w:rsidR="00847DFD">
        <w:t>a importancia</w:t>
      </w:r>
      <w:r w:rsidR="00D72E37" w:rsidRPr="00D72E37">
        <w:t xml:space="preserve"> que </w:t>
      </w:r>
      <w:r>
        <w:t>reviste e</w:t>
      </w:r>
      <w:r w:rsidR="00D72E37" w:rsidRPr="00D72E37">
        <w:t xml:space="preserve">l </w:t>
      </w:r>
      <w:r w:rsidR="00847DFD">
        <w:t>CI</w:t>
      </w:r>
      <w:r w:rsidR="00D72E37" w:rsidRPr="00D72E37">
        <w:t xml:space="preserve"> ha</w:t>
      </w:r>
      <w:r>
        <w:t xml:space="preserve"> dado lugar a la</w:t>
      </w:r>
      <w:r w:rsidR="00D72E37" w:rsidRPr="00D72E37">
        <w:t xml:space="preserve"> constru</w:t>
      </w:r>
      <w:r>
        <w:t>cción de</w:t>
      </w:r>
      <w:r w:rsidR="00D72E37" w:rsidRPr="00D72E37">
        <w:t xml:space="preserve"> una serie de modelos para su medición, </w:t>
      </w:r>
      <w:r w:rsidR="00847DFD">
        <w:t>puesto que los indicadores</w:t>
      </w:r>
      <w:r w:rsidR="00D72E37" w:rsidRPr="00D72E37">
        <w:t xml:space="preserve"> financier</w:t>
      </w:r>
      <w:r w:rsidR="00847DFD">
        <w:t>o</w:t>
      </w:r>
      <w:r w:rsidR="00D72E37" w:rsidRPr="00D72E37">
        <w:t>s resultan ser insuficientes</w:t>
      </w:r>
      <w:r w:rsidR="00D12EC2">
        <w:t xml:space="preserve"> a la hora de </w:t>
      </w:r>
      <w:r w:rsidR="00D72E37" w:rsidRPr="00D72E37">
        <w:t>la toma de decisiones, y los sistemas tradicionales de la contabilidad s</w:t>
      </w:r>
      <w:r>
        <w:t>o</w:t>
      </w:r>
      <w:r w:rsidR="00D72E37" w:rsidRPr="00D72E37">
        <w:t xml:space="preserve">lo </w:t>
      </w:r>
      <w:r w:rsidR="00D12EC2">
        <w:t xml:space="preserve">trabajan con datos del pasado </w:t>
      </w:r>
      <w:r w:rsidR="00D72E37" w:rsidRPr="00D72E37">
        <w:t>aportan</w:t>
      </w:r>
      <w:r w:rsidR="00D12EC2">
        <w:t>do poca o ninguna información acerca</w:t>
      </w:r>
      <w:r w:rsidR="00D72E37" w:rsidRPr="00D72E37">
        <w:t xml:space="preserve"> del futuro</w:t>
      </w:r>
      <w:r w:rsidR="00D12EC2">
        <w:t>.</w:t>
      </w:r>
      <w:r w:rsidR="00D72E37" w:rsidRPr="00D72E37">
        <w:t xml:space="preserve"> </w:t>
      </w:r>
      <w:r w:rsidR="00D12EC2">
        <w:t>P</w:t>
      </w:r>
      <w:r w:rsidR="00D72E37" w:rsidRPr="00D72E37">
        <w:t>or tal motivo</w:t>
      </w:r>
      <w:r w:rsidR="00D12EC2">
        <w:t>,</w:t>
      </w:r>
      <w:r w:rsidR="00D72E37" w:rsidRPr="00D72E37">
        <w:t xml:space="preserve"> se hace</w:t>
      </w:r>
      <w:r>
        <w:t>n</w:t>
      </w:r>
      <w:r w:rsidR="00D72E37" w:rsidRPr="00D72E37">
        <w:t xml:space="preserve"> necesari</w:t>
      </w:r>
      <w:r>
        <w:t>as</w:t>
      </w:r>
      <w:r w:rsidR="00D72E37" w:rsidRPr="00D72E37">
        <w:t xml:space="preserve"> m</w:t>
      </w:r>
      <w:r w:rsidR="00D12EC2">
        <w:t xml:space="preserve">étricas </w:t>
      </w:r>
      <w:r w:rsidR="00D72E37" w:rsidRPr="00D72E37">
        <w:t>no financieras para determinar aquellos elementos que contribuy</w:t>
      </w:r>
      <w:r w:rsidR="00C60C59">
        <w:t>e</w:t>
      </w:r>
      <w:r w:rsidR="00D72E37" w:rsidRPr="00D72E37">
        <w:t xml:space="preserve">n a que las </w:t>
      </w:r>
      <w:r w:rsidR="00D12EC2">
        <w:t>organizaciones</w:t>
      </w:r>
      <w:r w:rsidR="00D72E37" w:rsidRPr="00D72E37">
        <w:t xml:space="preserve"> sean más competitivas.</w:t>
      </w:r>
      <w:r w:rsidR="00D12EC2">
        <w:t xml:space="preserve"> Tal es el caso de los modelos </w:t>
      </w:r>
      <w:proofErr w:type="spellStart"/>
      <w:r w:rsidR="00D12EC2">
        <w:t>Skandia</w:t>
      </w:r>
      <w:proofErr w:type="spellEnd"/>
      <w:r w:rsidR="00D12EC2">
        <w:t>, VAIC y E</w:t>
      </w:r>
      <w:r>
        <w:t>V</w:t>
      </w:r>
      <w:r w:rsidR="00D12EC2">
        <w:t xml:space="preserve">A que permiten cuantificar </w:t>
      </w:r>
      <w:r w:rsidR="00E11EA2">
        <w:t>la creación o destrucción del valor</w:t>
      </w:r>
      <w:r w:rsidR="00E81AD9">
        <w:t xml:space="preserve"> del negocio</w:t>
      </w:r>
      <w:r w:rsidR="0005438E">
        <w:t xml:space="preserve"> y que </w:t>
      </w:r>
      <w:r w:rsidR="003175C9">
        <w:t>fueron el objeto de estudio</w:t>
      </w:r>
      <w:r w:rsidR="00C217BD">
        <w:t xml:space="preserve"> del</w:t>
      </w:r>
      <w:r w:rsidR="0005438E">
        <w:t xml:space="preserve"> presente trabajo.</w:t>
      </w:r>
    </w:p>
    <w:p w14:paraId="51F18DE0" w14:textId="5AB427A0" w:rsidR="0005438E" w:rsidRDefault="0005438E" w:rsidP="0005438E">
      <w:pPr>
        <w:spacing w:line="360" w:lineRule="auto"/>
        <w:jc w:val="both"/>
      </w:pPr>
      <w:r>
        <w:t xml:space="preserve">El Navegador </w:t>
      </w:r>
      <w:proofErr w:type="spellStart"/>
      <w:r>
        <w:t>Skandia</w:t>
      </w:r>
      <w:proofErr w:type="spellEnd"/>
      <w:r>
        <w:t xml:space="preserve"> se muestra como el modelo que arroja información relevante tanto para la administración interna de los componentes del CI como </w:t>
      </w:r>
      <w:r w:rsidR="005B1993">
        <w:t>par</w:t>
      </w:r>
      <w:r>
        <w:t>a la evaluación de la futura competitividad de la empresa, datos útiles para los accionistas e inversores potenciales.</w:t>
      </w:r>
    </w:p>
    <w:p w14:paraId="54B3777C" w14:textId="741DE0BA" w:rsidR="00246F7C" w:rsidRDefault="00246F7C" w:rsidP="0005438E">
      <w:pPr>
        <w:spacing w:line="360" w:lineRule="auto"/>
        <w:jc w:val="both"/>
      </w:pPr>
      <w:r>
        <w:t>Por su parte, el modelo VAIC</w:t>
      </w:r>
      <w:r w:rsidR="00D97616">
        <w:t xml:space="preserve"> se comporta como una</w:t>
      </w:r>
      <w:r>
        <w:t xml:space="preserve"> </w:t>
      </w:r>
      <w:r w:rsidR="00D97616">
        <w:t>herramienta estratégica para aproximar el valor del CI de una organización y su eficiencia utilizando indicadores financieros tradicionales que se determinan usualmente en las empresas.</w:t>
      </w:r>
    </w:p>
    <w:p w14:paraId="39432B3E" w14:textId="4F06B6CD" w:rsidR="00D97616" w:rsidRDefault="00D97616" w:rsidP="0005438E">
      <w:pPr>
        <w:spacing w:line="360" w:lineRule="auto"/>
        <w:jc w:val="both"/>
      </w:pPr>
      <w:r>
        <w:t xml:space="preserve">Por último, el EVA agrega a los modelos anteriores el concepto de costo promedio ponderado </w:t>
      </w:r>
      <w:bookmarkStart w:id="6" w:name="_GoBack"/>
      <w:bookmarkEnd w:id="6"/>
      <w:r>
        <w:t>de capital, sosteniendo que todo capital tiene un costo para la organización y que los recursos empleados por una empresa o unidad estratégica de negocio debe</w:t>
      </w:r>
      <w:r w:rsidR="005B1993">
        <w:t>n</w:t>
      </w:r>
      <w:r>
        <w:t xml:space="preserve"> producir una rentabilidad superior a ese costo.</w:t>
      </w:r>
    </w:p>
    <w:p w14:paraId="106EC9C6" w14:textId="419BC956" w:rsidR="00D97616" w:rsidRDefault="00C217BD" w:rsidP="00D97616">
      <w:pPr>
        <w:spacing w:line="360" w:lineRule="auto"/>
        <w:jc w:val="both"/>
      </w:pPr>
      <w:r>
        <w:t>El presente trabajo puede servir de guía para que los administradores calculen el valor del CI a través de estos 3 métodos</w:t>
      </w:r>
      <w:r w:rsidR="00D97616">
        <w:t>,</w:t>
      </w:r>
      <w:r>
        <w:t xml:space="preserve"> con el fin de obtener</w:t>
      </w:r>
      <w:r w:rsidR="00D97616">
        <w:t xml:space="preserve"> información adecuada para determinar la eficiencia de los recursos e identificar la generación de valor, no sólo si lo genera y cuánto, sino también saber qué elementos son los que generan valor y en qué medida, favoreciendo la toma de decisiones.</w:t>
      </w:r>
    </w:p>
    <w:p w14:paraId="145DA21F" w14:textId="0A836874" w:rsidR="00D97616" w:rsidRDefault="00D97616" w:rsidP="00D97616">
      <w:pPr>
        <w:spacing w:line="360" w:lineRule="auto"/>
        <w:jc w:val="both"/>
      </w:pPr>
      <w:r>
        <w:t xml:space="preserve">Otro aporte que genera este trabajo es </w:t>
      </w:r>
      <w:r w:rsidR="00C217BD">
        <w:t>demostrar la consistencia</w:t>
      </w:r>
      <w:r>
        <w:t xml:space="preserve"> y complementariedad existente entre los modelos,</w:t>
      </w:r>
      <w:r w:rsidR="00D73095">
        <w:t xml:space="preserve"> </w:t>
      </w:r>
      <w:r w:rsidR="00C217BD">
        <w:t>pudiéndose utilizar de forma conjunta en la gestión de v</w:t>
      </w:r>
      <w:r w:rsidR="00D73095">
        <w:t>alor en la empresa</w:t>
      </w:r>
      <w:r w:rsidR="00A0076E">
        <w:t>.</w:t>
      </w:r>
      <w:r>
        <w:t xml:space="preserve"> </w:t>
      </w:r>
    </w:p>
    <w:p w14:paraId="39EA52DD" w14:textId="73690D75" w:rsidR="006354C2" w:rsidRDefault="00D97616" w:rsidP="009D0C70">
      <w:pPr>
        <w:spacing w:line="360" w:lineRule="auto"/>
        <w:jc w:val="both"/>
      </w:pPr>
      <w:r>
        <w:lastRenderedPageBreak/>
        <w:t xml:space="preserve">No obstante, </w:t>
      </w:r>
      <w:r w:rsidR="005B1993">
        <w:t>resultaría importante indagar en</w:t>
      </w:r>
      <w:r>
        <w:t xml:space="preserve"> un mayor número de estudios empíricos que </w:t>
      </w:r>
      <w:r w:rsidR="005B1993">
        <w:t>aporten nuevas evidencias en torno a la idea anterior</w:t>
      </w:r>
      <w:r>
        <w:t xml:space="preserve">, lo que </w:t>
      </w:r>
      <w:r w:rsidR="005B1993">
        <w:t xml:space="preserve">deja espacio a </w:t>
      </w:r>
      <w:r w:rsidR="00D21ABE">
        <w:t xml:space="preserve">una interesante arista </w:t>
      </w:r>
      <w:r w:rsidR="00D63F26">
        <w:t>para posibles investigaciones futuras.</w:t>
      </w:r>
    </w:p>
    <w:p w14:paraId="71037167" w14:textId="77777777" w:rsidR="00D63F26" w:rsidRDefault="00D63F26" w:rsidP="009D0C70">
      <w:pPr>
        <w:spacing w:line="360" w:lineRule="auto"/>
        <w:jc w:val="both"/>
        <w:rPr>
          <w:b/>
          <w:szCs w:val="24"/>
        </w:rPr>
      </w:pPr>
    </w:p>
    <w:p w14:paraId="7BD17A50" w14:textId="50D4B2BB" w:rsidR="009D0C70" w:rsidRDefault="009D0C70" w:rsidP="00C82FD1">
      <w:pPr>
        <w:spacing w:line="360" w:lineRule="auto"/>
        <w:jc w:val="both"/>
        <w:rPr>
          <w:b/>
          <w:szCs w:val="24"/>
        </w:rPr>
      </w:pPr>
      <w:r>
        <w:rPr>
          <w:b/>
          <w:szCs w:val="24"/>
        </w:rPr>
        <w:t>Referencias bibliográficas</w:t>
      </w:r>
    </w:p>
    <w:p w14:paraId="1CD499E7" w14:textId="77777777" w:rsidR="00B36DF9" w:rsidRDefault="00B36DF9" w:rsidP="00C82FD1">
      <w:pPr>
        <w:spacing w:line="360" w:lineRule="auto"/>
        <w:jc w:val="both"/>
      </w:pPr>
      <w:r>
        <w:t xml:space="preserve">Amat, O. (2005). </w:t>
      </w:r>
      <w:r w:rsidRPr="00B57BAB">
        <w:rPr>
          <w:i/>
        </w:rPr>
        <w:t>Valor Económico Agregado</w:t>
      </w:r>
      <w:r>
        <w:t>. Barcelona, España: Grupo Editorial Norma.</w:t>
      </w:r>
    </w:p>
    <w:p w14:paraId="2320F2D5" w14:textId="77777777" w:rsidR="00B36DF9" w:rsidRPr="00581174" w:rsidRDefault="00B36DF9" w:rsidP="00C82FD1">
      <w:pPr>
        <w:autoSpaceDE w:val="0"/>
        <w:autoSpaceDN w:val="0"/>
        <w:adjustRightInd w:val="0"/>
        <w:spacing w:line="360" w:lineRule="auto"/>
        <w:ind w:left="709" w:hanging="709"/>
        <w:jc w:val="both"/>
        <w:rPr>
          <w:szCs w:val="24"/>
          <w:lang w:val="es-CO"/>
        </w:rPr>
      </w:pPr>
      <w:proofErr w:type="spellStart"/>
      <w:r w:rsidRPr="00581174">
        <w:rPr>
          <w:szCs w:val="24"/>
          <w:lang w:val="en-US"/>
        </w:rPr>
        <w:t>Andriessen</w:t>
      </w:r>
      <w:proofErr w:type="spellEnd"/>
      <w:r w:rsidRPr="00581174">
        <w:rPr>
          <w:szCs w:val="24"/>
          <w:lang w:val="en-US"/>
        </w:rPr>
        <w:t xml:space="preserve">, D. (2004). </w:t>
      </w:r>
      <w:r w:rsidRPr="00581174">
        <w:rPr>
          <w:i/>
          <w:iCs/>
          <w:szCs w:val="24"/>
          <w:lang w:val="en-US"/>
        </w:rPr>
        <w:t>Making sense of intellectual capital: Designing a method for the valuation of intangibles</w:t>
      </w:r>
      <w:r w:rsidRPr="00581174">
        <w:rPr>
          <w:iCs/>
          <w:szCs w:val="24"/>
          <w:lang w:val="en-US"/>
        </w:rPr>
        <w:t xml:space="preserve">. </w:t>
      </w:r>
      <w:r w:rsidRPr="00581174">
        <w:rPr>
          <w:szCs w:val="24"/>
          <w:lang w:val="es-CO"/>
        </w:rPr>
        <w:t>Burlington, USA: Elsevier Butterworth-Heinemann.</w:t>
      </w:r>
    </w:p>
    <w:p w14:paraId="4210ACE5" w14:textId="77777777" w:rsidR="00B36DF9" w:rsidRPr="000A142D" w:rsidRDefault="00B36DF9" w:rsidP="00C82FD1">
      <w:pPr>
        <w:spacing w:line="360" w:lineRule="auto"/>
        <w:ind w:left="709" w:hanging="709"/>
        <w:jc w:val="both"/>
        <w:rPr>
          <w:szCs w:val="24"/>
          <w:shd w:val="clear" w:color="auto" w:fill="FFFFFF"/>
          <w:lang w:val="es-AR"/>
        </w:rPr>
      </w:pPr>
      <w:r w:rsidRPr="000A142D">
        <w:rPr>
          <w:szCs w:val="24"/>
          <w:shd w:val="clear" w:color="auto" w:fill="FFFFFF"/>
          <w:lang w:val="es-AR"/>
        </w:rPr>
        <w:t xml:space="preserve">Arias, D., López, E. y Duque, L. (2012). </w:t>
      </w:r>
      <w:r w:rsidRPr="000A142D">
        <w:rPr>
          <w:i/>
          <w:szCs w:val="24"/>
          <w:shd w:val="clear" w:color="auto" w:fill="FFFFFF"/>
          <w:lang w:val="es-AR"/>
        </w:rPr>
        <w:t>Análisis de Valor Económico Agregado (EVA) y Valor Agregado de Mercado (MVA) para las empresas del sector petrolero que cotizan en la bolsa de valores de Colombia entre 2008 y 2011.</w:t>
      </w:r>
      <w:r w:rsidRPr="000A142D">
        <w:rPr>
          <w:szCs w:val="24"/>
          <w:shd w:val="clear" w:color="auto" w:fill="FFFFFF"/>
          <w:lang w:val="es-AR"/>
        </w:rPr>
        <w:t xml:space="preserve"> (Tesis Especialización En Gestión Financiera Empresarial). Universidad de Medellín, Colombia.</w:t>
      </w:r>
    </w:p>
    <w:p w14:paraId="725CBB3C" w14:textId="77777777" w:rsidR="00C82FD1" w:rsidRPr="00C82FD1" w:rsidRDefault="00C82FD1" w:rsidP="00C82FD1">
      <w:pPr>
        <w:autoSpaceDE w:val="0"/>
        <w:autoSpaceDN w:val="0"/>
        <w:adjustRightInd w:val="0"/>
        <w:spacing w:line="360" w:lineRule="auto"/>
        <w:ind w:left="709" w:hanging="709"/>
        <w:jc w:val="both"/>
        <w:rPr>
          <w:szCs w:val="24"/>
          <w:shd w:val="clear" w:color="auto" w:fill="FFFFFF"/>
          <w:lang w:val="en-US"/>
        </w:rPr>
      </w:pPr>
      <w:proofErr w:type="spellStart"/>
      <w:r w:rsidRPr="00C82FD1">
        <w:rPr>
          <w:szCs w:val="24"/>
          <w:shd w:val="clear" w:color="auto" w:fill="FFFFFF"/>
          <w:lang w:val="en-US"/>
        </w:rPr>
        <w:t>Bollen</w:t>
      </w:r>
      <w:proofErr w:type="spellEnd"/>
      <w:r w:rsidRPr="00C82FD1">
        <w:rPr>
          <w:szCs w:val="24"/>
          <w:shd w:val="clear" w:color="auto" w:fill="FFFFFF"/>
          <w:lang w:val="en-US"/>
        </w:rPr>
        <w:t xml:space="preserve">, L., </w:t>
      </w:r>
      <w:proofErr w:type="spellStart"/>
      <w:r w:rsidRPr="00C82FD1">
        <w:rPr>
          <w:szCs w:val="24"/>
          <w:shd w:val="clear" w:color="auto" w:fill="FFFFFF"/>
          <w:lang w:val="en-US"/>
        </w:rPr>
        <w:t>Vergauwen</w:t>
      </w:r>
      <w:proofErr w:type="spellEnd"/>
      <w:r w:rsidRPr="00C82FD1">
        <w:rPr>
          <w:szCs w:val="24"/>
          <w:shd w:val="clear" w:color="auto" w:fill="FFFFFF"/>
          <w:lang w:val="en-US"/>
        </w:rPr>
        <w:t xml:space="preserve">, P. y </w:t>
      </w:r>
      <w:proofErr w:type="spellStart"/>
      <w:r w:rsidRPr="00C82FD1">
        <w:rPr>
          <w:szCs w:val="24"/>
          <w:shd w:val="clear" w:color="auto" w:fill="FFFFFF"/>
          <w:lang w:val="en-US"/>
        </w:rPr>
        <w:t>Schnieders</w:t>
      </w:r>
      <w:proofErr w:type="spellEnd"/>
      <w:r w:rsidRPr="00C82FD1">
        <w:rPr>
          <w:szCs w:val="24"/>
          <w:shd w:val="clear" w:color="auto" w:fill="FFFFFF"/>
          <w:lang w:val="en-US"/>
        </w:rPr>
        <w:t xml:space="preserve">, S. (2005). Linking intellectual capital and intellectual property to company performance. </w:t>
      </w:r>
      <w:r w:rsidRPr="00C82FD1">
        <w:rPr>
          <w:i/>
          <w:szCs w:val="24"/>
          <w:shd w:val="clear" w:color="auto" w:fill="FFFFFF"/>
          <w:lang w:val="en-US"/>
        </w:rPr>
        <w:t>Management Decision, 43</w:t>
      </w:r>
      <w:r w:rsidRPr="00C82FD1">
        <w:rPr>
          <w:szCs w:val="24"/>
          <w:shd w:val="clear" w:color="auto" w:fill="FFFFFF"/>
          <w:lang w:val="en-US"/>
        </w:rPr>
        <w:t>(9), 1161-1185.</w:t>
      </w:r>
    </w:p>
    <w:p w14:paraId="5F7E09B0" w14:textId="77777777" w:rsidR="00C82FD1" w:rsidRPr="00C82FD1" w:rsidRDefault="00C82FD1" w:rsidP="00C82FD1">
      <w:pPr>
        <w:autoSpaceDE w:val="0"/>
        <w:autoSpaceDN w:val="0"/>
        <w:adjustRightInd w:val="0"/>
        <w:spacing w:line="360" w:lineRule="auto"/>
        <w:ind w:left="709" w:hanging="709"/>
        <w:jc w:val="both"/>
        <w:rPr>
          <w:szCs w:val="24"/>
          <w:shd w:val="clear" w:color="auto" w:fill="FFFFFF"/>
          <w:lang w:val="en-US"/>
        </w:rPr>
      </w:pPr>
      <w:proofErr w:type="spellStart"/>
      <w:r w:rsidRPr="00C82FD1">
        <w:rPr>
          <w:szCs w:val="24"/>
          <w:shd w:val="clear" w:color="auto" w:fill="FFFFFF"/>
          <w:lang w:val="en-US"/>
        </w:rPr>
        <w:t>Bontis</w:t>
      </w:r>
      <w:proofErr w:type="spellEnd"/>
      <w:r w:rsidRPr="00C82FD1">
        <w:rPr>
          <w:szCs w:val="24"/>
          <w:shd w:val="clear" w:color="auto" w:fill="FFFFFF"/>
          <w:lang w:val="en-US"/>
        </w:rPr>
        <w:t xml:space="preserve">, N. (1998). Intellectual capital: An exploratory study that develops measures and models. </w:t>
      </w:r>
      <w:r w:rsidRPr="00C82FD1">
        <w:rPr>
          <w:i/>
          <w:szCs w:val="24"/>
          <w:shd w:val="clear" w:color="auto" w:fill="FFFFFF"/>
          <w:lang w:val="en-US"/>
        </w:rPr>
        <w:t>Management Decision, 36</w:t>
      </w:r>
      <w:r w:rsidRPr="00C82FD1">
        <w:rPr>
          <w:szCs w:val="24"/>
          <w:shd w:val="clear" w:color="auto" w:fill="FFFFFF"/>
          <w:lang w:val="en-US"/>
        </w:rPr>
        <w:t>(2), 63-76.</w:t>
      </w:r>
    </w:p>
    <w:p w14:paraId="14C5AD07" w14:textId="046AA4EB" w:rsidR="00B36DF9" w:rsidRPr="00581174" w:rsidRDefault="00B36DF9" w:rsidP="00C82FD1">
      <w:pPr>
        <w:autoSpaceDE w:val="0"/>
        <w:autoSpaceDN w:val="0"/>
        <w:adjustRightInd w:val="0"/>
        <w:spacing w:line="360" w:lineRule="auto"/>
        <w:ind w:left="709" w:hanging="709"/>
        <w:jc w:val="both"/>
        <w:rPr>
          <w:szCs w:val="24"/>
          <w:lang w:val="en-US"/>
        </w:rPr>
      </w:pPr>
      <w:proofErr w:type="spellStart"/>
      <w:r w:rsidRPr="00581174">
        <w:rPr>
          <w:szCs w:val="24"/>
          <w:shd w:val="clear" w:color="auto" w:fill="FFFFFF"/>
          <w:lang w:val="en-US"/>
        </w:rPr>
        <w:t>Bontis</w:t>
      </w:r>
      <w:proofErr w:type="spellEnd"/>
      <w:r w:rsidRPr="00581174">
        <w:rPr>
          <w:szCs w:val="24"/>
          <w:shd w:val="clear" w:color="auto" w:fill="FFFFFF"/>
          <w:lang w:val="en-US"/>
        </w:rPr>
        <w:t>, N. (2001). Assessing knowledge assets: A review of the models used to measure intellectual capital.</w:t>
      </w:r>
      <w:r w:rsidRPr="00581174">
        <w:rPr>
          <w:rStyle w:val="apple-converted-space"/>
          <w:szCs w:val="24"/>
          <w:shd w:val="clear" w:color="auto" w:fill="FFFFFF"/>
          <w:lang w:val="en-US"/>
        </w:rPr>
        <w:t> </w:t>
      </w:r>
      <w:r w:rsidRPr="00581174">
        <w:rPr>
          <w:i/>
          <w:iCs/>
          <w:szCs w:val="24"/>
          <w:shd w:val="clear" w:color="auto" w:fill="FFFFFF"/>
          <w:lang w:val="en-US"/>
        </w:rPr>
        <w:t>International Journal of Management Reviews</w:t>
      </w:r>
      <w:r w:rsidRPr="00581174">
        <w:rPr>
          <w:i/>
          <w:szCs w:val="24"/>
          <w:shd w:val="clear" w:color="auto" w:fill="FFFFFF"/>
          <w:lang w:val="en-US"/>
        </w:rPr>
        <w:t>,</w:t>
      </w:r>
      <w:r w:rsidRPr="00581174">
        <w:rPr>
          <w:rStyle w:val="apple-converted-space"/>
          <w:i/>
          <w:szCs w:val="24"/>
          <w:shd w:val="clear" w:color="auto" w:fill="FFFFFF"/>
          <w:lang w:val="en-US"/>
        </w:rPr>
        <w:t> </w:t>
      </w:r>
      <w:r w:rsidRPr="00581174">
        <w:rPr>
          <w:i/>
          <w:iCs/>
          <w:szCs w:val="24"/>
          <w:shd w:val="clear" w:color="auto" w:fill="FFFFFF"/>
          <w:lang w:val="en-US"/>
        </w:rPr>
        <w:t>3</w:t>
      </w:r>
      <w:r w:rsidRPr="00581174">
        <w:rPr>
          <w:szCs w:val="24"/>
          <w:shd w:val="clear" w:color="auto" w:fill="FFFFFF"/>
          <w:lang w:val="en-US"/>
        </w:rPr>
        <w:t>(1), 41-60.</w:t>
      </w:r>
    </w:p>
    <w:p w14:paraId="7E8BA53B" w14:textId="77777777" w:rsidR="00B36DF9" w:rsidRPr="00723714" w:rsidRDefault="00B36DF9" w:rsidP="00C82FD1">
      <w:pPr>
        <w:spacing w:line="360" w:lineRule="auto"/>
        <w:ind w:left="709" w:hanging="709"/>
        <w:jc w:val="both"/>
        <w:rPr>
          <w:szCs w:val="24"/>
          <w:shd w:val="clear" w:color="auto" w:fill="FFFFFF"/>
        </w:rPr>
      </w:pPr>
      <w:proofErr w:type="spellStart"/>
      <w:r w:rsidRPr="000A142D">
        <w:rPr>
          <w:szCs w:val="24"/>
          <w:shd w:val="clear" w:color="auto" w:fill="FFFFFF"/>
          <w:lang w:val="en-US"/>
        </w:rPr>
        <w:t>Cañibano</w:t>
      </w:r>
      <w:proofErr w:type="spellEnd"/>
      <w:r w:rsidRPr="000A142D">
        <w:rPr>
          <w:szCs w:val="24"/>
          <w:shd w:val="clear" w:color="auto" w:fill="FFFFFF"/>
          <w:lang w:val="en-US"/>
        </w:rPr>
        <w:t xml:space="preserve"> L. y </w:t>
      </w:r>
      <w:proofErr w:type="spellStart"/>
      <w:r w:rsidRPr="000A142D">
        <w:rPr>
          <w:szCs w:val="24"/>
          <w:shd w:val="clear" w:color="auto" w:fill="FFFFFF"/>
          <w:lang w:val="en-US"/>
        </w:rPr>
        <w:t>Gisbert</w:t>
      </w:r>
      <w:proofErr w:type="spellEnd"/>
      <w:r w:rsidRPr="000A142D">
        <w:rPr>
          <w:szCs w:val="24"/>
          <w:shd w:val="clear" w:color="auto" w:fill="FFFFFF"/>
          <w:lang w:val="en-US"/>
        </w:rPr>
        <w:t xml:space="preserve"> A. (2006). </w:t>
      </w:r>
      <w:r w:rsidRPr="00723714">
        <w:rPr>
          <w:szCs w:val="24"/>
          <w:shd w:val="clear" w:color="auto" w:fill="FFFFFF"/>
        </w:rPr>
        <w:t>Los intangibles en las Normas Internacionales de Información Financiera. </w:t>
      </w:r>
      <w:r w:rsidRPr="00723714">
        <w:rPr>
          <w:i/>
          <w:iCs/>
          <w:szCs w:val="24"/>
          <w:shd w:val="clear" w:color="auto" w:fill="FFFFFF"/>
        </w:rPr>
        <w:t>Noticias de la Unión Europea</w:t>
      </w:r>
      <w:r w:rsidRPr="00723714">
        <w:rPr>
          <w:szCs w:val="24"/>
          <w:shd w:val="clear" w:color="auto" w:fill="FFFFFF"/>
        </w:rPr>
        <w:t>, 259-260, 5-20.</w:t>
      </w:r>
    </w:p>
    <w:p w14:paraId="4E4EB168" w14:textId="77777777" w:rsidR="00B36DF9" w:rsidRPr="00723714" w:rsidRDefault="00B36DF9" w:rsidP="00C82FD1">
      <w:pPr>
        <w:autoSpaceDE w:val="0"/>
        <w:autoSpaceDN w:val="0"/>
        <w:adjustRightInd w:val="0"/>
        <w:spacing w:line="360" w:lineRule="auto"/>
        <w:ind w:left="709" w:hanging="709"/>
        <w:jc w:val="both"/>
        <w:rPr>
          <w:szCs w:val="24"/>
          <w:shd w:val="clear" w:color="auto" w:fill="FFFFFF"/>
        </w:rPr>
      </w:pPr>
      <w:proofErr w:type="spellStart"/>
      <w:r w:rsidRPr="00723714">
        <w:rPr>
          <w:szCs w:val="24"/>
          <w:shd w:val="clear" w:color="auto" w:fill="FFFFFF"/>
        </w:rPr>
        <w:t>Cañibano</w:t>
      </w:r>
      <w:proofErr w:type="spellEnd"/>
      <w:r w:rsidRPr="00723714">
        <w:rPr>
          <w:szCs w:val="24"/>
          <w:shd w:val="clear" w:color="auto" w:fill="FFFFFF"/>
        </w:rPr>
        <w:t>, L. (2007). Algunos nuevos retos de la información contable-financiera: intangibles, internet y gestión de beneficios. </w:t>
      </w:r>
      <w:r w:rsidRPr="00723714">
        <w:rPr>
          <w:i/>
          <w:iCs/>
          <w:szCs w:val="24"/>
          <w:shd w:val="clear" w:color="auto" w:fill="FFFFFF"/>
        </w:rPr>
        <w:t>Activos</w:t>
      </w:r>
      <w:r w:rsidRPr="00723714">
        <w:rPr>
          <w:szCs w:val="24"/>
          <w:shd w:val="clear" w:color="auto" w:fill="FFFFFF"/>
        </w:rPr>
        <w:t>, </w:t>
      </w:r>
      <w:r w:rsidRPr="00723714">
        <w:rPr>
          <w:i/>
          <w:iCs/>
          <w:szCs w:val="24"/>
          <w:shd w:val="clear" w:color="auto" w:fill="FFFFFF"/>
        </w:rPr>
        <w:t>7</w:t>
      </w:r>
      <w:r w:rsidRPr="00723714">
        <w:rPr>
          <w:szCs w:val="24"/>
          <w:shd w:val="clear" w:color="auto" w:fill="FFFFFF"/>
        </w:rPr>
        <w:t>(13), 89-115.</w:t>
      </w:r>
    </w:p>
    <w:p w14:paraId="3BF8CF0E" w14:textId="77777777" w:rsidR="00B36DF9" w:rsidRPr="00581174" w:rsidRDefault="00B36DF9" w:rsidP="00C82FD1">
      <w:pPr>
        <w:spacing w:line="360" w:lineRule="auto"/>
        <w:ind w:left="709" w:hanging="709"/>
        <w:jc w:val="both"/>
        <w:rPr>
          <w:szCs w:val="24"/>
        </w:rPr>
      </w:pPr>
      <w:proofErr w:type="spellStart"/>
      <w:r w:rsidRPr="00581174">
        <w:rPr>
          <w:szCs w:val="24"/>
        </w:rPr>
        <w:t>Cañibano</w:t>
      </w:r>
      <w:proofErr w:type="spellEnd"/>
      <w:r w:rsidRPr="00581174">
        <w:rPr>
          <w:szCs w:val="24"/>
        </w:rPr>
        <w:t xml:space="preserve">, L., Sánchez, M. García, M. y </w:t>
      </w:r>
      <w:proofErr w:type="spellStart"/>
      <w:r w:rsidRPr="00581174">
        <w:rPr>
          <w:szCs w:val="24"/>
        </w:rPr>
        <w:t>Chaminade</w:t>
      </w:r>
      <w:proofErr w:type="spellEnd"/>
      <w:r w:rsidRPr="00581174">
        <w:rPr>
          <w:szCs w:val="24"/>
        </w:rPr>
        <w:t xml:space="preserve">, C. (2002). </w:t>
      </w:r>
      <w:r w:rsidRPr="00581174">
        <w:rPr>
          <w:i/>
          <w:szCs w:val="24"/>
        </w:rPr>
        <w:t>Directrices para la gestión y difusión de información sobre intangibles (Informe de Capital Intelectual)</w:t>
      </w:r>
      <w:r w:rsidRPr="00581174">
        <w:rPr>
          <w:szCs w:val="24"/>
        </w:rPr>
        <w:t xml:space="preserve">. Proyecto </w:t>
      </w:r>
      <w:proofErr w:type="spellStart"/>
      <w:r w:rsidRPr="00581174">
        <w:rPr>
          <w:szCs w:val="24"/>
        </w:rPr>
        <w:t>Meritum</w:t>
      </w:r>
      <w:proofErr w:type="spellEnd"/>
      <w:r w:rsidRPr="00581174">
        <w:rPr>
          <w:szCs w:val="24"/>
        </w:rPr>
        <w:t xml:space="preserve">. Madrid: Fundación </w:t>
      </w:r>
      <w:proofErr w:type="spellStart"/>
      <w:r w:rsidRPr="00581174">
        <w:rPr>
          <w:szCs w:val="24"/>
        </w:rPr>
        <w:t>Airtel</w:t>
      </w:r>
      <w:proofErr w:type="spellEnd"/>
      <w:r w:rsidRPr="00581174">
        <w:rPr>
          <w:szCs w:val="24"/>
        </w:rPr>
        <w:t xml:space="preserve"> Móvil.</w:t>
      </w:r>
    </w:p>
    <w:p w14:paraId="532C119E" w14:textId="77777777" w:rsidR="00B36DF9" w:rsidRPr="009D458C" w:rsidRDefault="00B36DF9" w:rsidP="00C82FD1">
      <w:pPr>
        <w:spacing w:line="360" w:lineRule="auto"/>
        <w:ind w:left="709" w:hanging="709"/>
        <w:jc w:val="both"/>
        <w:rPr>
          <w:iCs/>
          <w:szCs w:val="24"/>
          <w:shd w:val="clear" w:color="auto" w:fill="FFFFFF"/>
          <w:lang w:val="es-CO"/>
        </w:rPr>
      </w:pPr>
      <w:r w:rsidRPr="009D458C">
        <w:rPr>
          <w:szCs w:val="24"/>
          <w:shd w:val="clear" w:color="auto" w:fill="FFFFFF"/>
        </w:rPr>
        <w:t xml:space="preserve">Carlucci, D. y </w:t>
      </w:r>
      <w:proofErr w:type="spellStart"/>
      <w:r w:rsidRPr="009D458C">
        <w:rPr>
          <w:szCs w:val="24"/>
          <w:shd w:val="clear" w:color="auto" w:fill="FFFFFF"/>
        </w:rPr>
        <w:t>Schiuma</w:t>
      </w:r>
      <w:proofErr w:type="spellEnd"/>
      <w:r w:rsidRPr="009D458C">
        <w:rPr>
          <w:szCs w:val="24"/>
          <w:shd w:val="clear" w:color="auto" w:fill="FFFFFF"/>
        </w:rPr>
        <w:t xml:space="preserve">, G. (2007). </w:t>
      </w:r>
      <w:r w:rsidRPr="009D458C">
        <w:rPr>
          <w:szCs w:val="24"/>
          <w:shd w:val="clear" w:color="auto" w:fill="FFFFFF"/>
          <w:lang w:val="en-US"/>
        </w:rPr>
        <w:t xml:space="preserve">Exploring intellectual capital concept in strategic management research. </w:t>
      </w:r>
      <w:proofErr w:type="spellStart"/>
      <w:r w:rsidRPr="009D458C">
        <w:rPr>
          <w:szCs w:val="24"/>
          <w:shd w:val="clear" w:color="auto" w:fill="FFFFFF"/>
          <w:lang w:val="en-US"/>
        </w:rPr>
        <w:t>En</w:t>
      </w:r>
      <w:proofErr w:type="spellEnd"/>
      <w:r w:rsidRPr="009D458C">
        <w:rPr>
          <w:szCs w:val="24"/>
          <w:shd w:val="clear" w:color="auto" w:fill="FFFFFF"/>
          <w:lang w:val="en-US"/>
        </w:rPr>
        <w:t xml:space="preserve"> L. </w:t>
      </w:r>
      <w:proofErr w:type="spellStart"/>
      <w:r w:rsidRPr="009D458C">
        <w:rPr>
          <w:szCs w:val="24"/>
          <w:shd w:val="clear" w:color="auto" w:fill="FFFFFF"/>
          <w:lang w:val="en-US"/>
        </w:rPr>
        <w:t>Joia</w:t>
      </w:r>
      <w:proofErr w:type="spellEnd"/>
      <w:r w:rsidRPr="009D458C">
        <w:rPr>
          <w:szCs w:val="24"/>
          <w:shd w:val="clear" w:color="auto" w:fill="FFFFFF"/>
          <w:lang w:val="en-US"/>
        </w:rPr>
        <w:t xml:space="preserve"> (Ed.),</w:t>
      </w:r>
      <w:r w:rsidRPr="009D458C">
        <w:rPr>
          <w:rStyle w:val="apple-converted-space"/>
          <w:szCs w:val="24"/>
          <w:shd w:val="clear" w:color="auto" w:fill="FFFFFF"/>
          <w:lang w:val="en-US"/>
        </w:rPr>
        <w:t> </w:t>
      </w:r>
      <w:r w:rsidRPr="009D458C">
        <w:rPr>
          <w:i/>
          <w:iCs/>
          <w:szCs w:val="24"/>
          <w:shd w:val="clear" w:color="auto" w:fill="FFFFFF"/>
          <w:lang w:val="en-US"/>
        </w:rPr>
        <w:t xml:space="preserve">Strategies for Information Technology and Intellectual Capital: Challenges and Opportunities </w:t>
      </w:r>
      <w:r w:rsidRPr="009D458C">
        <w:rPr>
          <w:iCs/>
          <w:szCs w:val="24"/>
          <w:shd w:val="clear" w:color="auto" w:fill="FFFFFF"/>
          <w:lang w:val="en-US"/>
        </w:rPr>
        <w:t xml:space="preserve">(pp. 10-28). </w:t>
      </w:r>
      <w:r w:rsidRPr="009D458C">
        <w:rPr>
          <w:iCs/>
          <w:szCs w:val="24"/>
          <w:shd w:val="clear" w:color="auto" w:fill="FFFFFF"/>
          <w:lang w:val="es-CO"/>
        </w:rPr>
        <w:t xml:space="preserve">London: Idea </w:t>
      </w:r>
      <w:proofErr w:type="spellStart"/>
      <w:r w:rsidRPr="009D458C">
        <w:rPr>
          <w:iCs/>
          <w:szCs w:val="24"/>
          <w:shd w:val="clear" w:color="auto" w:fill="FFFFFF"/>
          <w:lang w:val="es-CO"/>
        </w:rPr>
        <w:t>Group</w:t>
      </w:r>
      <w:proofErr w:type="spellEnd"/>
      <w:r w:rsidRPr="009D458C">
        <w:rPr>
          <w:iCs/>
          <w:szCs w:val="24"/>
          <w:shd w:val="clear" w:color="auto" w:fill="FFFFFF"/>
          <w:lang w:val="es-CO"/>
        </w:rPr>
        <w:t>.</w:t>
      </w:r>
    </w:p>
    <w:p w14:paraId="5CACC9D1" w14:textId="77777777" w:rsidR="00B36DF9" w:rsidRDefault="00B36DF9" w:rsidP="00C82FD1">
      <w:pPr>
        <w:spacing w:line="360" w:lineRule="auto"/>
        <w:ind w:left="709" w:hanging="709"/>
        <w:jc w:val="both"/>
      </w:pPr>
      <w:r w:rsidRPr="000A142D">
        <w:rPr>
          <w:szCs w:val="24"/>
          <w:shd w:val="clear" w:color="auto" w:fill="FFFFFF"/>
          <w:lang w:val="es-AR"/>
        </w:rPr>
        <w:t>Cayetano, L. y Saavedra, M. (2020).</w:t>
      </w:r>
      <w:r w:rsidRPr="00C867C2">
        <w:t xml:space="preserve"> </w:t>
      </w:r>
      <w:r>
        <w:t xml:space="preserve">El capital intelectual y la generación de valor en el sector tecnológico. </w:t>
      </w:r>
      <w:proofErr w:type="spellStart"/>
      <w:r w:rsidRPr="00C867C2">
        <w:rPr>
          <w:i/>
        </w:rPr>
        <w:t>Denarius</w:t>
      </w:r>
      <w:proofErr w:type="spellEnd"/>
      <w:r w:rsidRPr="00C867C2">
        <w:rPr>
          <w:i/>
        </w:rPr>
        <w:t>, revista de economía y administración</w:t>
      </w:r>
      <w:r>
        <w:rPr>
          <w:i/>
        </w:rPr>
        <w:t xml:space="preserve">, </w:t>
      </w:r>
      <w:r w:rsidRPr="00C867C2">
        <w:t>39, 77-100.</w:t>
      </w:r>
    </w:p>
    <w:p w14:paraId="6BC73495" w14:textId="77777777" w:rsidR="00B36DF9" w:rsidRPr="000A142D" w:rsidRDefault="00B36DF9" w:rsidP="00C82FD1">
      <w:pPr>
        <w:spacing w:line="360" w:lineRule="auto"/>
        <w:ind w:left="709" w:hanging="709"/>
        <w:jc w:val="both"/>
        <w:rPr>
          <w:szCs w:val="24"/>
          <w:shd w:val="clear" w:color="auto" w:fill="FFFFFF"/>
          <w:lang w:val="es-AR"/>
        </w:rPr>
      </w:pPr>
      <w:r>
        <w:t xml:space="preserve">Cazares, L., Saavedra, M. y Tapia, B. (2019). Creación de valor en la industria cervecera artesanal mexicana. </w:t>
      </w:r>
      <w:r w:rsidRPr="000B5E3F">
        <w:rPr>
          <w:i/>
        </w:rPr>
        <w:t>Revista Economía</w:t>
      </w:r>
      <w:r>
        <w:t>, XLIV, 47,101-130.</w:t>
      </w:r>
      <w:r w:rsidRPr="000A142D">
        <w:rPr>
          <w:szCs w:val="24"/>
          <w:shd w:val="clear" w:color="auto" w:fill="FFFFFF"/>
          <w:lang w:val="es-AR"/>
        </w:rPr>
        <w:t xml:space="preserve"> </w:t>
      </w:r>
    </w:p>
    <w:p w14:paraId="54393A47" w14:textId="77777777" w:rsidR="00B36DF9" w:rsidRDefault="00B36DF9" w:rsidP="00C82FD1">
      <w:pPr>
        <w:spacing w:line="360" w:lineRule="auto"/>
        <w:ind w:left="709" w:hanging="709"/>
        <w:jc w:val="both"/>
        <w:rPr>
          <w:szCs w:val="24"/>
          <w:shd w:val="clear" w:color="auto" w:fill="FFFFFF"/>
          <w:lang w:val="en-US"/>
        </w:rPr>
      </w:pPr>
      <w:proofErr w:type="spellStart"/>
      <w:r w:rsidRPr="000A142D">
        <w:rPr>
          <w:szCs w:val="24"/>
          <w:shd w:val="clear" w:color="auto" w:fill="FFFFFF"/>
          <w:lang w:val="es-AR"/>
        </w:rPr>
        <w:t>Demuner</w:t>
      </w:r>
      <w:proofErr w:type="spellEnd"/>
      <w:r w:rsidRPr="000A142D">
        <w:rPr>
          <w:szCs w:val="24"/>
          <w:shd w:val="clear" w:color="auto" w:fill="FFFFFF"/>
          <w:lang w:val="es-AR"/>
        </w:rPr>
        <w:t xml:space="preserve">, M. Saavedra, M. y Camarena, M. (2017). Medición del capital intelectual en el sector bancario: aplicación de los modelos </w:t>
      </w:r>
      <w:proofErr w:type="spellStart"/>
      <w:r w:rsidRPr="000A142D">
        <w:rPr>
          <w:szCs w:val="24"/>
          <w:shd w:val="clear" w:color="auto" w:fill="FFFFFF"/>
          <w:lang w:val="es-AR"/>
        </w:rPr>
        <w:t>Skandia</w:t>
      </w:r>
      <w:proofErr w:type="spellEnd"/>
      <w:r w:rsidRPr="000A142D">
        <w:rPr>
          <w:szCs w:val="24"/>
          <w:shd w:val="clear" w:color="auto" w:fill="FFFFFF"/>
          <w:lang w:val="es-AR"/>
        </w:rPr>
        <w:t xml:space="preserve"> y VAIC. </w:t>
      </w:r>
      <w:proofErr w:type="spellStart"/>
      <w:r w:rsidRPr="00D82488">
        <w:rPr>
          <w:i/>
          <w:szCs w:val="24"/>
          <w:shd w:val="clear" w:color="auto" w:fill="FFFFFF"/>
          <w:lang w:val="en-US"/>
        </w:rPr>
        <w:t>Revista</w:t>
      </w:r>
      <w:proofErr w:type="spellEnd"/>
      <w:r w:rsidRPr="00D82488">
        <w:rPr>
          <w:i/>
          <w:szCs w:val="24"/>
          <w:shd w:val="clear" w:color="auto" w:fill="FFFFFF"/>
          <w:lang w:val="en-US"/>
        </w:rPr>
        <w:t xml:space="preserve"> </w:t>
      </w:r>
      <w:proofErr w:type="spellStart"/>
      <w:r w:rsidRPr="00D82488">
        <w:rPr>
          <w:i/>
          <w:szCs w:val="24"/>
          <w:shd w:val="clear" w:color="auto" w:fill="FFFFFF"/>
          <w:lang w:val="en-US"/>
        </w:rPr>
        <w:t>Innovar</w:t>
      </w:r>
      <w:proofErr w:type="spellEnd"/>
      <w:r w:rsidRPr="00D82488">
        <w:rPr>
          <w:i/>
          <w:szCs w:val="24"/>
          <w:shd w:val="clear" w:color="auto" w:fill="FFFFFF"/>
          <w:lang w:val="en-US"/>
        </w:rPr>
        <w:t xml:space="preserve"> Journal.</w:t>
      </w:r>
      <w:r w:rsidRPr="00D82488">
        <w:rPr>
          <w:szCs w:val="24"/>
          <w:shd w:val="clear" w:color="auto" w:fill="FFFFFF"/>
          <w:lang w:val="en-US"/>
        </w:rPr>
        <w:t xml:space="preserve"> </w:t>
      </w:r>
      <w:r>
        <w:rPr>
          <w:szCs w:val="24"/>
          <w:shd w:val="clear" w:color="auto" w:fill="FFFFFF"/>
          <w:lang w:val="en-US"/>
        </w:rPr>
        <w:t>27 (66), 75-89.</w:t>
      </w:r>
    </w:p>
    <w:p w14:paraId="327DA344" w14:textId="77777777" w:rsidR="00B36DF9" w:rsidRPr="000A142D" w:rsidRDefault="00B36DF9" w:rsidP="00C82FD1">
      <w:pPr>
        <w:spacing w:line="360" w:lineRule="auto"/>
        <w:ind w:left="709" w:hanging="709"/>
        <w:jc w:val="both"/>
        <w:rPr>
          <w:szCs w:val="24"/>
          <w:lang w:val="es-AR"/>
        </w:rPr>
      </w:pPr>
      <w:r w:rsidRPr="00581174">
        <w:rPr>
          <w:szCs w:val="24"/>
          <w:shd w:val="clear" w:color="auto" w:fill="FFFFFF"/>
          <w:lang w:val="en-US"/>
        </w:rPr>
        <w:lastRenderedPageBreak/>
        <w:t>Dumay, J. (2016). A critical reflection on the future of intellectual capital: From reporting to disclosure</w:t>
      </w:r>
      <w:r w:rsidRPr="00581174">
        <w:rPr>
          <w:i/>
          <w:szCs w:val="24"/>
          <w:shd w:val="clear" w:color="auto" w:fill="FFFFFF"/>
          <w:lang w:val="en-US"/>
        </w:rPr>
        <w:t xml:space="preserve">. </w:t>
      </w:r>
      <w:proofErr w:type="spellStart"/>
      <w:r w:rsidRPr="000A142D">
        <w:rPr>
          <w:i/>
          <w:szCs w:val="24"/>
          <w:shd w:val="clear" w:color="auto" w:fill="FFFFFF"/>
          <w:lang w:val="es-AR"/>
        </w:rPr>
        <w:t>Journal</w:t>
      </w:r>
      <w:proofErr w:type="spellEnd"/>
      <w:r w:rsidRPr="000A142D">
        <w:rPr>
          <w:i/>
          <w:szCs w:val="24"/>
          <w:shd w:val="clear" w:color="auto" w:fill="FFFFFF"/>
          <w:lang w:val="es-AR"/>
        </w:rPr>
        <w:t xml:space="preserve"> </w:t>
      </w:r>
      <w:proofErr w:type="spellStart"/>
      <w:r w:rsidRPr="000A142D">
        <w:rPr>
          <w:i/>
          <w:szCs w:val="24"/>
          <w:shd w:val="clear" w:color="auto" w:fill="FFFFFF"/>
          <w:lang w:val="es-AR"/>
        </w:rPr>
        <w:t>of</w:t>
      </w:r>
      <w:proofErr w:type="spellEnd"/>
      <w:r w:rsidRPr="000A142D">
        <w:rPr>
          <w:i/>
          <w:szCs w:val="24"/>
          <w:shd w:val="clear" w:color="auto" w:fill="FFFFFF"/>
          <w:lang w:val="es-AR"/>
        </w:rPr>
        <w:t xml:space="preserve"> </w:t>
      </w:r>
      <w:proofErr w:type="spellStart"/>
      <w:r w:rsidRPr="000A142D">
        <w:rPr>
          <w:i/>
          <w:szCs w:val="24"/>
          <w:shd w:val="clear" w:color="auto" w:fill="FFFFFF"/>
          <w:lang w:val="es-AR"/>
        </w:rPr>
        <w:t>Intellectual</w:t>
      </w:r>
      <w:proofErr w:type="spellEnd"/>
      <w:r w:rsidRPr="000A142D">
        <w:rPr>
          <w:i/>
          <w:szCs w:val="24"/>
          <w:shd w:val="clear" w:color="auto" w:fill="FFFFFF"/>
          <w:lang w:val="es-AR"/>
        </w:rPr>
        <w:t xml:space="preserve"> Capital, 17</w:t>
      </w:r>
      <w:r w:rsidRPr="000A142D">
        <w:rPr>
          <w:szCs w:val="24"/>
          <w:shd w:val="clear" w:color="auto" w:fill="FFFFFF"/>
          <w:lang w:val="es-AR"/>
        </w:rPr>
        <w:t>(1), 168-184.</w:t>
      </w:r>
      <w:r w:rsidRPr="000A142D">
        <w:rPr>
          <w:szCs w:val="24"/>
          <w:lang w:val="es-AR"/>
        </w:rPr>
        <w:t xml:space="preserve"> </w:t>
      </w:r>
    </w:p>
    <w:p w14:paraId="18ED29A5" w14:textId="77777777" w:rsidR="00B36DF9" w:rsidRPr="000A142D" w:rsidRDefault="00B36DF9" w:rsidP="00C82FD1">
      <w:pPr>
        <w:spacing w:line="360" w:lineRule="auto"/>
        <w:ind w:left="709" w:hanging="709"/>
        <w:jc w:val="both"/>
        <w:rPr>
          <w:szCs w:val="24"/>
          <w:shd w:val="clear" w:color="auto" w:fill="FFFFFF"/>
          <w:lang w:val="es-AR"/>
        </w:rPr>
      </w:pPr>
      <w:proofErr w:type="spellStart"/>
      <w:r w:rsidRPr="000A142D">
        <w:rPr>
          <w:szCs w:val="24"/>
          <w:shd w:val="clear" w:color="auto" w:fill="FFFFFF"/>
          <w:lang w:val="es-AR"/>
        </w:rPr>
        <w:t>Dumrauf</w:t>
      </w:r>
      <w:proofErr w:type="spellEnd"/>
      <w:r w:rsidRPr="000A142D">
        <w:rPr>
          <w:szCs w:val="24"/>
          <w:shd w:val="clear" w:color="auto" w:fill="FFFFFF"/>
          <w:lang w:val="es-AR"/>
        </w:rPr>
        <w:t xml:space="preserve">, G. (2010). </w:t>
      </w:r>
      <w:r w:rsidRPr="000A142D">
        <w:rPr>
          <w:i/>
          <w:szCs w:val="24"/>
          <w:shd w:val="clear" w:color="auto" w:fill="FFFFFF"/>
          <w:lang w:val="es-AR"/>
        </w:rPr>
        <w:t>Finanzas Corporativas, un Enfoque Latinoamericano</w:t>
      </w:r>
      <w:r w:rsidRPr="000A142D">
        <w:rPr>
          <w:szCs w:val="24"/>
          <w:shd w:val="clear" w:color="auto" w:fill="FFFFFF"/>
          <w:lang w:val="es-AR"/>
        </w:rPr>
        <w:t>. Buenos Aires, Argentina: Alfaomega Grupo Editor Argentino.</w:t>
      </w:r>
    </w:p>
    <w:p w14:paraId="5D634C6C" w14:textId="77777777" w:rsidR="00B36DF9" w:rsidRPr="00581174" w:rsidRDefault="00B36DF9" w:rsidP="00C82FD1">
      <w:pPr>
        <w:autoSpaceDE w:val="0"/>
        <w:autoSpaceDN w:val="0"/>
        <w:adjustRightInd w:val="0"/>
        <w:spacing w:line="360" w:lineRule="auto"/>
        <w:ind w:left="709" w:hanging="709"/>
        <w:jc w:val="both"/>
        <w:rPr>
          <w:szCs w:val="24"/>
          <w:lang w:val="en-US"/>
        </w:rPr>
      </w:pPr>
      <w:proofErr w:type="spellStart"/>
      <w:r w:rsidRPr="00581174">
        <w:rPr>
          <w:szCs w:val="24"/>
        </w:rPr>
        <w:t>Edvinsson</w:t>
      </w:r>
      <w:proofErr w:type="spellEnd"/>
      <w:r w:rsidRPr="00581174">
        <w:rPr>
          <w:szCs w:val="24"/>
        </w:rPr>
        <w:t xml:space="preserve">, L. y Malone, M. (1997). </w:t>
      </w:r>
      <w:r w:rsidRPr="00581174">
        <w:rPr>
          <w:i/>
          <w:iCs/>
          <w:szCs w:val="24"/>
          <w:lang w:val="en-US"/>
        </w:rPr>
        <w:t>Intellectual Capital. Realizing your company´s true value by findings its hidden brainpower</w:t>
      </w:r>
      <w:r w:rsidRPr="00581174">
        <w:rPr>
          <w:szCs w:val="24"/>
          <w:lang w:val="en-US"/>
        </w:rPr>
        <w:t>.  New York: Harper Collins Publishers.</w:t>
      </w:r>
    </w:p>
    <w:p w14:paraId="4577AEE4" w14:textId="77777777" w:rsidR="00B36DF9" w:rsidRPr="00581174" w:rsidRDefault="00B36DF9" w:rsidP="00C82FD1">
      <w:pPr>
        <w:pStyle w:val="Textoindependiente"/>
        <w:spacing w:before="0" w:after="0"/>
        <w:ind w:left="709" w:hanging="709"/>
        <w:rPr>
          <w:rFonts w:ascii="Times New Roman" w:hAnsi="Times New Roman" w:cs="Times New Roman"/>
          <w:sz w:val="24"/>
          <w:szCs w:val="24"/>
        </w:rPr>
      </w:pPr>
      <w:proofErr w:type="spellStart"/>
      <w:r w:rsidRPr="00581174">
        <w:rPr>
          <w:rFonts w:ascii="Times New Roman" w:hAnsi="Times New Roman" w:cs="Times New Roman"/>
          <w:sz w:val="24"/>
          <w:szCs w:val="24"/>
          <w:lang w:val="en-US"/>
        </w:rPr>
        <w:t>Edvinsson</w:t>
      </w:r>
      <w:proofErr w:type="spellEnd"/>
      <w:r w:rsidRPr="00581174">
        <w:rPr>
          <w:rFonts w:ascii="Times New Roman" w:hAnsi="Times New Roman" w:cs="Times New Roman"/>
          <w:sz w:val="24"/>
          <w:szCs w:val="24"/>
          <w:lang w:val="en-US"/>
        </w:rPr>
        <w:t xml:space="preserve">, L. y Malone, M. (1999). </w:t>
      </w:r>
      <w:r w:rsidRPr="00581174">
        <w:rPr>
          <w:rFonts w:ascii="Times New Roman" w:hAnsi="Times New Roman" w:cs="Times New Roman"/>
          <w:i/>
          <w:iCs/>
          <w:sz w:val="24"/>
          <w:szCs w:val="24"/>
          <w:lang w:val="es-CO"/>
        </w:rPr>
        <w:t xml:space="preserve">El capital intelectual. </w:t>
      </w:r>
      <w:r w:rsidRPr="00581174">
        <w:rPr>
          <w:rFonts w:ascii="Times New Roman" w:hAnsi="Times New Roman" w:cs="Times New Roman"/>
          <w:i/>
          <w:iCs/>
          <w:sz w:val="24"/>
          <w:szCs w:val="24"/>
        </w:rPr>
        <w:t>Cómo identificar y calcular el valor de los recursos intangibles de su empresa</w:t>
      </w:r>
      <w:r w:rsidRPr="00581174">
        <w:rPr>
          <w:rFonts w:ascii="Times New Roman" w:hAnsi="Times New Roman" w:cs="Times New Roman"/>
          <w:sz w:val="24"/>
          <w:szCs w:val="24"/>
        </w:rPr>
        <w:t>. Barcelona: Ediciones Gestión 2000.</w:t>
      </w:r>
    </w:p>
    <w:p w14:paraId="1B7D2AA3" w14:textId="77777777" w:rsidR="00B36DF9" w:rsidRPr="00723714" w:rsidRDefault="00B36DF9" w:rsidP="00C82FD1">
      <w:pPr>
        <w:spacing w:line="360" w:lineRule="auto"/>
        <w:ind w:left="709" w:hanging="709"/>
        <w:jc w:val="both"/>
        <w:rPr>
          <w:color w:val="222222"/>
          <w:szCs w:val="24"/>
          <w:shd w:val="clear" w:color="auto" w:fill="FFFFFF"/>
        </w:rPr>
      </w:pPr>
      <w:r w:rsidRPr="00723714">
        <w:rPr>
          <w:color w:val="222222"/>
          <w:szCs w:val="24"/>
          <w:shd w:val="clear" w:color="auto" w:fill="FFFFFF"/>
        </w:rPr>
        <w:t>Ficco, C. (2019). Los activos intangibles en la normativa contable argentina y en las normas internacionales de información financiera. </w:t>
      </w:r>
      <w:r w:rsidRPr="00723714">
        <w:rPr>
          <w:i/>
          <w:iCs/>
          <w:color w:val="222222"/>
          <w:szCs w:val="24"/>
          <w:shd w:val="clear" w:color="auto" w:fill="FFFFFF"/>
        </w:rPr>
        <w:t>Contabilidad y Auditoría</w:t>
      </w:r>
      <w:r w:rsidRPr="00723714">
        <w:rPr>
          <w:color w:val="222222"/>
          <w:szCs w:val="24"/>
          <w:shd w:val="clear" w:color="auto" w:fill="FFFFFF"/>
        </w:rPr>
        <w:t>, 50, 61-108.</w:t>
      </w:r>
    </w:p>
    <w:p w14:paraId="2BD95F78" w14:textId="77777777" w:rsidR="00B36DF9" w:rsidRPr="00581174" w:rsidRDefault="00B36DF9" w:rsidP="00C82FD1">
      <w:pPr>
        <w:spacing w:line="360" w:lineRule="auto"/>
        <w:ind w:left="709" w:hanging="709"/>
        <w:jc w:val="both"/>
        <w:rPr>
          <w:szCs w:val="24"/>
          <w:shd w:val="clear" w:color="auto" w:fill="FFFFFF"/>
        </w:rPr>
      </w:pPr>
      <w:r w:rsidRPr="00581174">
        <w:rPr>
          <w:szCs w:val="24"/>
          <w:shd w:val="clear" w:color="auto" w:fill="FFFFFF"/>
        </w:rPr>
        <w:t xml:space="preserve">Ficco, C. (2020). Relevancia valorativa de los activos intangibles y del capital intelectual: Una revisión de la literatura empírica. </w:t>
      </w:r>
      <w:r w:rsidRPr="00581174">
        <w:rPr>
          <w:i/>
          <w:szCs w:val="24"/>
          <w:shd w:val="clear" w:color="auto" w:fill="FFFFFF"/>
        </w:rPr>
        <w:t>Revista Academia &amp; Negocios, 6</w:t>
      </w:r>
      <w:r w:rsidRPr="00581174">
        <w:rPr>
          <w:szCs w:val="24"/>
          <w:shd w:val="clear" w:color="auto" w:fill="FFFFFF"/>
        </w:rPr>
        <w:t>(1), en prensa.</w:t>
      </w:r>
    </w:p>
    <w:p w14:paraId="13092775" w14:textId="6596A236" w:rsidR="005174CE" w:rsidRPr="005174CE" w:rsidRDefault="005174CE" w:rsidP="00C82FD1">
      <w:pPr>
        <w:spacing w:line="360" w:lineRule="auto"/>
        <w:ind w:left="709" w:hanging="709"/>
        <w:jc w:val="both"/>
        <w:rPr>
          <w:szCs w:val="24"/>
          <w:shd w:val="clear" w:color="auto" w:fill="FFFFFF"/>
        </w:rPr>
      </w:pPr>
      <w:r w:rsidRPr="005174CE">
        <w:rPr>
          <w:szCs w:val="24"/>
          <w:shd w:val="clear" w:color="auto" w:fill="FFFFFF"/>
        </w:rPr>
        <w:t>Fic</w:t>
      </w:r>
      <w:r>
        <w:rPr>
          <w:szCs w:val="24"/>
          <w:shd w:val="clear" w:color="auto" w:fill="FFFFFF"/>
        </w:rPr>
        <w:t xml:space="preserve">co, C., García, G., </w:t>
      </w:r>
      <w:proofErr w:type="spellStart"/>
      <w:r>
        <w:rPr>
          <w:szCs w:val="24"/>
          <w:shd w:val="clear" w:color="auto" w:fill="FFFFFF"/>
        </w:rPr>
        <w:t>Sader</w:t>
      </w:r>
      <w:proofErr w:type="spellEnd"/>
      <w:r>
        <w:rPr>
          <w:szCs w:val="24"/>
          <w:shd w:val="clear" w:color="auto" w:fill="FFFFFF"/>
        </w:rPr>
        <w:t>, G., y</w:t>
      </w:r>
      <w:r w:rsidRPr="005174CE">
        <w:rPr>
          <w:szCs w:val="24"/>
          <w:shd w:val="clear" w:color="auto" w:fill="FFFFFF"/>
        </w:rPr>
        <w:t xml:space="preserve"> Luna Valenzuela, J. (2021). El capital intelectual en el reporte integrado: un estudio exploratorio en el mercado de capitales argentino a partir d</w:t>
      </w:r>
      <w:r>
        <w:rPr>
          <w:szCs w:val="24"/>
          <w:shd w:val="clear" w:color="auto" w:fill="FFFFFF"/>
        </w:rPr>
        <w:t>el análisis de datos textuales</w:t>
      </w:r>
      <w:r w:rsidRPr="005174CE">
        <w:rPr>
          <w:szCs w:val="24"/>
          <w:shd w:val="clear" w:color="auto" w:fill="FFFFFF"/>
        </w:rPr>
        <w:t>. </w:t>
      </w:r>
      <w:r w:rsidRPr="005174CE">
        <w:rPr>
          <w:i/>
          <w:szCs w:val="24"/>
          <w:shd w:val="clear" w:color="auto" w:fill="FFFFFF"/>
        </w:rPr>
        <w:t>Revista Academia &amp; Negocios, 7</w:t>
      </w:r>
      <w:r w:rsidRPr="005174CE">
        <w:rPr>
          <w:szCs w:val="24"/>
          <w:shd w:val="clear" w:color="auto" w:fill="FFFFFF"/>
        </w:rPr>
        <w:t>(2)</w:t>
      </w:r>
      <w:r>
        <w:rPr>
          <w:szCs w:val="24"/>
          <w:shd w:val="clear" w:color="auto" w:fill="FFFFFF"/>
        </w:rPr>
        <w:t>, 105-122.</w:t>
      </w:r>
    </w:p>
    <w:p w14:paraId="4D305788" w14:textId="0FD254BA" w:rsidR="00B36DF9" w:rsidRPr="00256B35" w:rsidRDefault="00B36DF9" w:rsidP="00C82FD1">
      <w:pPr>
        <w:spacing w:line="360" w:lineRule="auto"/>
        <w:ind w:left="709" w:hanging="709"/>
        <w:jc w:val="both"/>
        <w:rPr>
          <w:szCs w:val="24"/>
          <w:shd w:val="clear" w:color="auto" w:fill="FFFFFF"/>
          <w:lang w:val="en-US"/>
        </w:rPr>
      </w:pPr>
      <w:proofErr w:type="spellStart"/>
      <w:r w:rsidRPr="000A142D">
        <w:rPr>
          <w:szCs w:val="24"/>
          <w:shd w:val="clear" w:color="auto" w:fill="FFFFFF"/>
          <w:lang w:val="es-AR"/>
        </w:rPr>
        <w:t>Kujansivu</w:t>
      </w:r>
      <w:proofErr w:type="spellEnd"/>
      <w:r w:rsidRPr="000A142D">
        <w:rPr>
          <w:szCs w:val="24"/>
          <w:shd w:val="clear" w:color="auto" w:fill="FFFFFF"/>
          <w:lang w:val="es-AR"/>
        </w:rPr>
        <w:t xml:space="preserve">, P. y </w:t>
      </w:r>
      <w:proofErr w:type="spellStart"/>
      <w:r w:rsidRPr="000A142D">
        <w:rPr>
          <w:szCs w:val="24"/>
          <w:shd w:val="clear" w:color="auto" w:fill="FFFFFF"/>
          <w:lang w:val="es-AR"/>
        </w:rPr>
        <w:t>Lonnqvist</w:t>
      </w:r>
      <w:proofErr w:type="spellEnd"/>
      <w:r w:rsidRPr="000A142D">
        <w:rPr>
          <w:szCs w:val="24"/>
          <w:shd w:val="clear" w:color="auto" w:fill="FFFFFF"/>
          <w:lang w:val="es-AR"/>
        </w:rPr>
        <w:t xml:space="preserve">, A. (2007). </w:t>
      </w:r>
      <w:r w:rsidRPr="00256B35">
        <w:rPr>
          <w:szCs w:val="24"/>
          <w:shd w:val="clear" w:color="auto" w:fill="FFFFFF"/>
          <w:lang w:val="en-US"/>
        </w:rPr>
        <w:t>Investigating the value and efficiency of intellectual capital. </w:t>
      </w:r>
      <w:r w:rsidRPr="00256B35">
        <w:rPr>
          <w:i/>
          <w:szCs w:val="24"/>
          <w:shd w:val="clear" w:color="auto" w:fill="FFFFFF"/>
          <w:lang w:val="en-US"/>
        </w:rPr>
        <w:t>Journal of Intellectual Capital</w:t>
      </w:r>
      <w:r w:rsidRPr="00256B35">
        <w:rPr>
          <w:szCs w:val="24"/>
          <w:shd w:val="clear" w:color="auto" w:fill="FFFFFF"/>
          <w:lang w:val="en-US"/>
        </w:rPr>
        <w:t>, 8(2), 272-287. </w:t>
      </w:r>
    </w:p>
    <w:p w14:paraId="529AED8C" w14:textId="77777777" w:rsidR="00B36DF9" w:rsidRPr="000A142D" w:rsidRDefault="00B36DF9" w:rsidP="00C82FD1">
      <w:pPr>
        <w:spacing w:line="360" w:lineRule="auto"/>
        <w:ind w:left="709" w:hanging="709"/>
        <w:jc w:val="both"/>
        <w:rPr>
          <w:szCs w:val="24"/>
          <w:shd w:val="clear" w:color="auto" w:fill="FFFFFF"/>
          <w:lang w:val="es-AR"/>
        </w:rPr>
      </w:pPr>
      <w:r w:rsidRPr="00256B35">
        <w:rPr>
          <w:szCs w:val="24"/>
          <w:shd w:val="clear" w:color="auto" w:fill="FFFFFF"/>
          <w:lang w:val="en-US"/>
        </w:rPr>
        <w:t>Laing, G., Dunn, J. y Hughes-Lucas, S. (2010). Applying the VAICTM model to Australian Hotels. </w:t>
      </w:r>
      <w:proofErr w:type="spellStart"/>
      <w:r w:rsidRPr="000A142D">
        <w:rPr>
          <w:i/>
          <w:szCs w:val="24"/>
          <w:shd w:val="clear" w:color="auto" w:fill="FFFFFF"/>
          <w:lang w:val="es-AR"/>
        </w:rPr>
        <w:t>Journal</w:t>
      </w:r>
      <w:proofErr w:type="spellEnd"/>
      <w:r w:rsidRPr="000A142D">
        <w:rPr>
          <w:i/>
          <w:szCs w:val="24"/>
          <w:shd w:val="clear" w:color="auto" w:fill="FFFFFF"/>
          <w:lang w:val="es-AR"/>
        </w:rPr>
        <w:t xml:space="preserve"> </w:t>
      </w:r>
      <w:proofErr w:type="spellStart"/>
      <w:r w:rsidRPr="000A142D">
        <w:rPr>
          <w:i/>
          <w:szCs w:val="24"/>
          <w:shd w:val="clear" w:color="auto" w:fill="FFFFFF"/>
          <w:lang w:val="es-AR"/>
        </w:rPr>
        <w:t>of</w:t>
      </w:r>
      <w:proofErr w:type="spellEnd"/>
      <w:r w:rsidRPr="000A142D">
        <w:rPr>
          <w:i/>
          <w:szCs w:val="24"/>
          <w:shd w:val="clear" w:color="auto" w:fill="FFFFFF"/>
          <w:lang w:val="es-AR"/>
        </w:rPr>
        <w:t xml:space="preserve"> </w:t>
      </w:r>
      <w:proofErr w:type="spellStart"/>
      <w:r w:rsidRPr="000A142D">
        <w:rPr>
          <w:i/>
          <w:szCs w:val="24"/>
          <w:shd w:val="clear" w:color="auto" w:fill="FFFFFF"/>
          <w:lang w:val="es-AR"/>
        </w:rPr>
        <w:t>Intellectual</w:t>
      </w:r>
      <w:proofErr w:type="spellEnd"/>
      <w:r w:rsidRPr="000A142D">
        <w:rPr>
          <w:i/>
          <w:szCs w:val="24"/>
          <w:shd w:val="clear" w:color="auto" w:fill="FFFFFF"/>
          <w:lang w:val="es-AR"/>
        </w:rPr>
        <w:t xml:space="preserve"> Capital</w:t>
      </w:r>
      <w:r w:rsidRPr="000A142D">
        <w:rPr>
          <w:szCs w:val="24"/>
          <w:shd w:val="clear" w:color="auto" w:fill="FFFFFF"/>
          <w:lang w:val="es-AR"/>
        </w:rPr>
        <w:t>, 11(3), 269-283. </w:t>
      </w:r>
    </w:p>
    <w:p w14:paraId="1C97F857" w14:textId="77777777" w:rsidR="00B36DF9" w:rsidRPr="000A142D" w:rsidRDefault="00B36DF9" w:rsidP="00C82FD1">
      <w:pPr>
        <w:spacing w:line="360" w:lineRule="auto"/>
        <w:ind w:left="709" w:hanging="709"/>
        <w:jc w:val="both"/>
        <w:rPr>
          <w:szCs w:val="24"/>
          <w:shd w:val="clear" w:color="auto" w:fill="FFFFFF"/>
          <w:lang w:val="es-AR"/>
        </w:rPr>
      </w:pPr>
      <w:r w:rsidRPr="000A142D">
        <w:rPr>
          <w:szCs w:val="24"/>
          <w:shd w:val="clear" w:color="auto" w:fill="FFFFFF"/>
          <w:lang w:val="es-AR"/>
        </w:rPr>
        <w:t xml:space="preserve">Li, F. (2010). El valor económico agregado (EVA) en el valor del negocio. </w:t>
      </w:r>
      <w:r w:rsidRPr="000A142D">
        <w:rPr>
          <w:i/>
          <w:szCs w:val="24"/>
          <w:shd w:val="clear" w:color="auto" w:fill="FFFFFF"/>
          <w:lang w:val="es-AR"/>
        </w:rPr>
        <w:t>Revista Nacional de Administración</w:t>
      </w:r>
      <w:r w:rsidRPr="000A142D">
        <w:rPr>
          <w:szCs w:val="24"/>
          <w:shd w:val="clear" w:color="auto" w:fill="FFFFFF"/>
          <w:lang w:val="es-AR"/>
        </w:rPr>
        <w:t>. 1 (1), 55-70.</w:t>
      </w:r>
    </w:p>
    <w:p w14:paraId="0D1EEB57" w14:textId="77777777" w:rsidR="00B36DF9" w:rsidRPr="000A142D" w:rsidRDefault="00B36DF9" w:rsidP="00C82FD1">
      <w:pPr>
        <w:spacing w:line="360" w:lineRule="auto"/>
        <w:ind w:left="773" w:hangingChars="322" w:hanging="773"/>
        <w:jc w:val="both"/>
        <w:rPr>
          <w:szCs w:val="24"/>
          <w:shd w:val="clear" w:color="auto" w:fill="FFFFFF"/>
          <w:lang w:val="es-AR"/>
        </w:rPr>
      </w:pPr>
      <w:r w:rsidRPr="00723714">
        <w:rPr>
          <w:iCs/>
          <w:szCs w:val="24"/>
          <w:lang w:eastAsia="es-ES_tradnl"/>
        </w:rPr>
        <w:t xml:space="preserve">López, M., </w:t>
      </w:r>
      <w:proofErr w:type="spellStart"/>
      <w:r w:rsidRPr="00723714">
        <w:rPr>
          <w:iCs/>
          <w:szCs w:val="24"/>
          <w:lang w:eastAsia="es-ES_tradnl"/>
        </w:rPr>
        <w:t>Santanatoglia</w:t>
      </w:r>
      <w:proofErr w:type="spellEnd"/>
      <w:r w:rsidRPr="00723714">
        <w:rPr>
          <w:iCs/>
          <w:szCs w:val="24"/>
          <w:lang w:eastAsia="es-ES_tradnl"/>
        </w:rPr>
        <w:t xml:space="preserve">, J., </w:t>
      </w:r>
      <w:proofErr w:type="spellStart"/>
      <w:r w:rsidRPr="00723714">
        <w:rPr>
          <w:iCs/>
          <w:szCs w:val="24"/>
          <w:lang w:eastAsia="es-ES_tradnl"/>
        </w:rPr>
        <w:t>Pedroni</w:t>
      </w:r>
      <w:proofErr w:type="spellEnd"/>
      <w:r w:rsidRPr="00723714">
        <w:rPr>
          <w:iCs/>
          <w:szCs w:val="24"/>
          <w:lang w:eastAsia="es-ES_tradnl"/>
        </w:rPr>
        <w:t xml:space="preserve">, F., </w:t>
      </w:r>
      <w:proofErr w:type="spellStart"/>
      <w:r w:rsidRPr="00723714">
        <w:rPr>
          <w:iCs/>
          <w:szCs w:val="24"/>
          <w:lang w:eastAsia="es-ES_tradnl"/>
        </w:rPr>
        <w:t>Albanese</w:t>
      </w:r>
      <w:proofErr w:type="spellEnd"/>
      <w:r w:rsidRPr="00723714">
        <w:rPr>
          <w:iCs/>
          <w:szCs w:val="24"/>
          <w:lang w:eastAsia="es-ES_tradnl"/>
        </w:rPr>
        <w:t xml:space="preserve">, D. y </w:t>
      </w:r>
      <w:proofErr w:type="spellStart"/>
      <w:r w:rsidRPr="00723714">
        <w:rPr>
          <w:iCs/>
          <w:szCs w:val="24"/>
          <w:lang w:eastAsia="es-ES_tradnl"/>
        </w:rPr>
        <w:t>Milanesi</w:t>
      </w:r>
      <w:proofErr w:type="spellEnd"/>
      <w:r w:rsidRPr="00723714">
        <w:rPr>
          <w:iCs/>
          <w:szCs w:val="24"/>
          <w:lang w:eastAsia="es-ES_tradnl"/>
        </w:rPr>
        <w:t xml:space="preserve">, G. (2013). </w:t>
      </w:r>
      <w:r w:rsidRPr="00723714">
        <w:rPr>
          <w:iCs/>
          <w:szCs w:val="24"/>
          <w:lang w:val="es-ES_tradnl" w:eastAsia="es-ES_tradnl"/>
        </w:rPr>
        <w:t xml:space="preserve">Activos intangibles. Revisión del marco normativo contable nacional e internacional. </w:t>
      </w:r>
      <w:r w:rsidRPr="000A142D">
        <w:rPr>
          <w:i/>
          <w:iCs/>
          <w:szCs w:val="24"/>
          <w:shd w:val="clear" w:color="auto" w:fill="FFFFFF"/>
          <w:lang w:val="es-AR"/>
        </w:rPr>
        <w:t>Escritos Contables y de Administración</w:t>
      </w:r>
      <w:r w:rsidRPr="000A142D">
        <w:rPr>
          <w:szCs w:val="24"/>
          <w:shd w:val="clear" w:color="auto" w:fill="FFFFFF"/>
          <w:lang w:val="es-AR"/>
        </w:rPr>
        <w:t xml:space="preserve">, </w:t>
      </w:r>
      <w:r w:rsidRPr="000A142D">
        <w:rPr>
          <w:i/>
          <w:iCs/>
          <w:szCs w:val="24"/>
          <w:shd w:val="clear" w:color="auto" w:fill="FFFFFF"/>
          <w:lang w:val="es-AR"/>
        </w:rPr>
        <w:t>4</w:t>
      </w:r>
      <w:r w:rsidRPr="000A142D">
        <w:rPr>
          <w:szCs w:val="24"/>
          <w:shd w:val="clear" w:color="auto" w:fill="FFFFFF"/>
          <w:lang w:val="es-AR"/>
        </w:rPr>
        <w:t>(2), 55-89.</w:t>
      </w:r>
    </w:p>
    <w:p w14:paraId="763711E3" w14:textId="77777777" w:rsidR="00B36DF9" w:rsidRPr="00581174" w:rsidRDefault="00B36DF9" w:rsidP="00C82FD1">
      <w:pPr>
        <w:autoSpaceDE w:val="0"/>
        <w:autoSpaceDN w:val="0"/>
        <w:adjustRightInd w:val="0"/>
        <w:spacing w:line="360" w:lineRule="auto"/>
        <w:ind w:left="709" w:hanging="709"/>
        <w:jc w:val="both"/>
        <w:rPr>
          <w:szCs w:val="24"/>
          <w:shd w:val="clear" w:color="auto" w:fill="FFFFFF"/>
        </w:rPr>
      </w:pPr>
      <w:r w:rsidRPr="000A142D">
        <w:rPr>
          <w:szCs w:val="24"/>
          <w:shd w:val="clear" w:color="auto" w:fill="FFFFFF"/>
          <w:lang w:val="es-AR"/>
        </w:rPr>
        <w:t xml:space="preserve">Ochoa, M., Prieto, B. y </w:t>
      </w:r>
      <w:proofErr w:type="spellStart"/>
      <w:r w:rsidRPr="000A142D">
        <w:rPr>
          <w:szCs w:val="24"/>
          <w:shd w:val="clear" w:color="auto" w:fill="FFFFFF"/>
          <w:lang w:val="es-AR"/>
        </w:rPr>
        <w:t>Santidrián</w:t>
      </w:r>
      <w:proofErr w:type="spellEnd"/>
      <w:r w:rsidRPr="000A142D">
        <w:rPr>
          <w:szCs w:val="24"/>
          <w:shd w:val="clear" w:color="auto" w:fill="FFFFFF"/>
          <w:lang w:val="es-AR"/>
        </w:rPr>
        <w:t xml:space="preserve">, A. (2010). </w:t>
      </w:r>
      <w:r w:rsidRPr="00581174">
        <w:rPr>
          <w:szCs w:val="24"/>
          <w:shd w:val="clear" w:color="auto" w:fill="FFFFFF"/>
        </w:rPr>
        <w:t>Estado actual de los modelos de capital intelectual y su impacto en la creación de valor en empresas de Castilla y León.</w:t>
      </w:r>
      <w:r w:rsidRPr="00581174">
        <w:rPr>
          <w:rStyle w:val="apple-converted-space"/>
          <w:szCs w:val="24"/>
          <w:shd w:val="clear" w:color="auto" w:fill="FFFFFF"/>
        </w:rPr>
        <w:t> </w:t>
      </w:r>
      <w:r w:rsidRPr="00581174">
        <w:rPr>
          <w:i/>
          <w:iCs/>
          <w:szCs w:val="24"/>
          <w:shd w:val="clear" w:color="auto" w:fill="FFFFFF"/>
        </w:rPr>
        <w:t>Revista de Investigación Económica y Social de Castilla y León</w:t>
      </w:r>
      <w:r w:rsidRPr="00581174">
        <w:rPr>
          <w:szCs w:val="24"/>
          <w:shd w:val="clear" w:color="auto" w:fill="FFFFFF"/>
        </w:rPr>
        <w:t>, 13, 15-205.</w:t>
      </w:r>
    </w:p>
    <w:p w14:paraId="39B634E4" w14:textId="77777777" w:rsidR="00B36DF9" w:rsidRDefault="00B36DF9" w:rsidP="00C82FD1">
      <w:pPr>
        <w:spacing w:line="360" w:lineRule="auto"/>
        <w:ind w:left="709" w:hanging="709"/>
        <w:jc w:val="both"/>
      </w:pPr>
      <w:r w:rsidRPr="000A142D">
        <w:rPr>
          <w:szCs w:val="24"/>
          <w:shd w:val="clear" w:color="auto" w:fill="FFFFFF"/>
          <w:lang w:val="es-AR"/>
        </w:rPr>
        <w:t xml:space="preserve">Ordóñez de Pablos, P. (1999). </w:t>
      </w:r>
      <w:r w:rsidRPr="00C867C2">
        <w:rPr>
          <w:i/>
        </w:rPr>
        <w:t>La dinámica del capital intelectual como fuente de valor organizativo.</w:t>
      </w:r>
      <w:r>
        <w:t xml:space="preserve"> Facultad de Ciencias Económicas, Universidad de Oviedo, Asturias, España.</w:t>
      </w:r>
    </w:p>
    <w:p w14:paraId="1E17D962" w14:textId="77777777" w:rsidR="00B36DF9" w:rsidRDefault="00B36DF9" w:rsidP="00C82FD1">
      <w:pPr>
        <w:spacing w:line="360" w:lineRule="auto"/>
        <w:ind w:left="709" w:hanging="709"/>
        <w:jc w:val="both"/>
      </w:pPr>
      <w:r>
        <w:t xml:space="preserve">Pardo- Cueva, M., Armas, R. y Chamba- Rueda, L. (2017) </w:t>
      </w:r>
      <w:r w:rsidRPr="00466A4E">
        <w:t>Valoración del capital intelectual y su impacto en la rentabilidad financiera en empresas del sector industrial del Ecuador</w:t>
      </w:r>
      <w:r>
        <w:t xml:space="preserve">. </w:t>
      </w:r>
      <w:r w:rsidRPr="00466A4E">
        <w:rPr>
          <w:i/>
        </w:rPr>
        <w:t>Revista Publicando</w:t>
      </w:r>
      <w:r w:rsidRPr="00466A4E">
        <w:t xml:space="preserve">, 4 </w:t>
      </w:r>
      <w:r>
        <w:t>(</w:t>
      </w:r>
      <w:r w:rsidRPr="00466A4E">
        <w:t>13</w:t>
      </w:r>
      <w:r>
        <w:t>)</w:t>
      </w:r>
      <w:r w:rsidRPr="00466A4E">
        <w:t xml:space="preserve">. 193-206. </w:t>
      </w:r>
    </w:p>
    <w:p w14:paraId="13FB542E" w14:textId="77777777" w:rsidR="00B36DF9" w:rsidRDefault="00B36DF9" w:rsidP="00C82FD1">
      <w:pPr>
        <w:spacing w:line="360" w:lineRule="auto"/>
        <w:ind w:left="709" w:hanging="709"/>
        <w:jc w:val="both"/>
      </w:pPr>
      <w:r>
        <w:lastRenderedPageBreak/>
        <w:t xml:space="preserve">Pardo- Cueva, M., Armas, R. y </w:t>
      </w:r>
      <w:proofErr w:type="spellStart"/>
      <w:r>
        <w:t>Higuerey</w:t>
      </w:r>
      <w:proofErr w:type="spellEnd"/>
      <w:r>
        <w:t xml:space="preserve">, A. (2018). La influencia del capital intelectual sobre la rentabilidad de las empresas manufactureras ecuatorianas. </w:t>
      </w:r>
      <w:r w:rsidRPr="005678F1">
        <w:rPr>
          <w:i/>
        </w:rPr>
        <w:t>Revista Espacios</w:t>
      </w:r>
      <w:r>
        <w:t xml:space="preserve">. 39 (51), 14-29. </w:t>
      </w:r>
    </w:p>
    <w:p w14:paraId="2BD91871" w14:textId="77777777" w:rsidR="00B36DF9" w:rsidRPr="000A142D" w:rsidRDefault="00B36DF9" w:rsidP="00C82FD1">
      <w:pPr>
        <w:spacing w:line="360" w:lineRule="auto"/>
        <w:ind w:left="709" w:hanging="709"/>
        <w:jc w:val="both"/>
        <w:rPr>
          <w:szCs w:val="24"/>
          <w:shd w:val="clear" w:color="auto" w:fill="FFFFFF"/>
          <w:lang w:val="es-AR"/>
        </w:rPr>
      </w:pPr>
      <w:r w:rsidRPr="000A142D">
        <w:rPr>
          <w:szCs w:val="24"/>
          <w:shd w:val="clear" w:color="auto" w:fill="FFFFFF"/>
          <w:lang w:val="es-AR"/>
        </w:rPr>
        <w:t xml:space="preserve">Pardo-Cueva, M., Herrera, R. y Chamba-Rueda, L. (2017). Valoración del capital intelectual y su impacto en la rentabilidad financiera en empresas del sector industrial del Ecuador. </w:t>
      </w:r>
      <w:r w:rsidRPr="000A142D">
        <w:rPr>
          <w:i/>
          <w:szCs w:val="24"/>
          <w:shd w:val="clear" w:color="auto" w:fill="FFFFFF"/>
          <w:lang w:val="es-AR"/>
        </w:rPr>
        <w:t>Revista Publicando</w:t>
      </w:r>
      <w:r w:rsidRPr="000A142D">
        <w:rPr>
          <w:szCs w:val="24"/>
          <w:shd w:val="clear" w:color="auto" w:fill="FFFFFF"/>
          <w:lang w:val="es-AR"/>
        </w:rPr>
        <w:t>, 4(13), 193-206.</w:t>
      </w:r>
    </w:p>
    <w:p w14:paraId="428B7593" w14:textId="77777777" w:rsidR="00B36DF9" w:rsidRPr="000A142D" w:rsidRDefault="00B36DF9" w:rsidP="00C82FD1">
      <w:pPr>
        <w:autoSpaceDE w:val="0"/>
        <w:autoSpaceDN w:val="0"/>
        <w:adjustRightInd w:val="0"/>
        <w:spacing w:line="360" w:lineRule="auto"/>
        <w:ind w:left="709" w:hanging="709"/>
        <w:jc w:val="both"/>
        <w:rPr>
          <w:szCs w:val="24"/>
          <w:shd w:val="clear" w:color="auto" w:fill="FFFFFF"/>
          <w:lang w:val="en-US"/>
        </w:rPr>
      </w:pPr>
      <w:r w:rsidRPr="000A142D">
        <w:rPr>
          <w:szCs w:val="24"/>
          <w:shd w:val="clear" w:color="auto" w:fill="FFFFFF"/>
          <w:lang w:val="es-AR"/>
        </w:rPr>
        <w:t xml:space="preserve">Pastor, D., </w:t>
      </w:r>
      <w:proofErr w:type="spellStart"/>
      <w:r w:rsidRPr="000A142D">
        <w:rPr>
          <w:szCs w:val="24"/>
          <w:shd w:val="clear" w:color="auto" w:fill="FFFFFF"/>
          <w:lang w:val="es-AR"/>
        </w:rPr>
        <w:t>Glova</w:t>
      </w:r>
      <w:proofErr w:type="spellEnd"/>
      <w:r w:rsidRPr="000A142D">
        <w:rPr>
          <w:szCs w:val="24"/>
          <w:shd w:val="clear" w:color="auto" w:fill="FFFFFF"/>
          <w:lang w:val="es-AR"/>
        </w:rPr>
        <w:t xml:space="preserve">, J., </w:t>
      </w:r>
      <w:proofErr w:type="spellStart"/>
      <w:r w:rsidRPr="000A142D">
        <w:rPr>
          <w:szCs w:val="24"/>
          <w:shd w:val="clear" w:color="auto" w:fill="FFFFFF"/>
          <w:lang w:val="es-AR"/>
        </w:rPr>
        <w:t>Lipták</w:t>
      </w:r>
      <w:proofErr w:type="spellEnd"/>
      <w:r w:rsidRPr="000A142D">
        <w:rPr>
          <w:szCs w:val="24"/>
          <w:shd w:val="clear" w:color="auto" w:fill="FFFFFF"/>
          <w:lang w:val="es-AR"/>
        </w:rPr>
        <w:t xml:space="preserve">, F. y </w:t>
      </w:r>
      <w:proofErr w:type="spellStart"/>
      <w:r w:rsidRPr="000A142D">
        <w:rPr>
          <w:szCs w:val="24"/>
          <w:shd w:val="clear" w:color="auto" w:fill="FFFFFF"/>
          <w:lang w:val="es-AR"/>
        </w:rPr>
        <w:t>Kovác</w:t>
      </w:r>
      <w:proofErr w:type="spellEnd"/>
      <w:r w:rsidRPr="000A142D">
        <w:rPr>
          <w:szCs w:val="24"/>
          <w:shd w:val="clear" w:color="auto" w:fill="FFFFFF"/>
          <w:lang w:val="es-AR"/>
        </w:rPr>
        <w:t xml:space="preserve">, V. (2017). </w:t>
      </w:r>
      <w:r w:rsidRPr="00723714">
        <w:rPr>
          <w:szCs w:val="24"/>
          <w:shd w:val="clear" w:color="auto" w:fill="FFFFFF"/>
          <w:lang w:val="en-US"/>
        </w:rPr>
        <w:t>Intangibles and methods for their valuation in financial terms: Literature review. </w:t>
      </w:r>
      <w:r w:rsidRPr="000A142D">
        <w:rPr>
          <w:i/>
          <w:szCs w:val="24"/>
          <w:shd w:val="clear" w:color="auto" w:fill="FFFFFF"/>
          <w:lang w:val="en-US"/>
        </w:rPr>
        <w:t>Intangible capital, 13</w:t>
      </w:r>
      <w:r w:rsidRPr="000A142D">
        <w:rPr>
          <w:szCs w:val="24"/>
          <w:shd w:val="clear" w:color="auto" w:fill="FFFFFF"/>
          <w:lang w:val="en-US"/>
        </w:rPr>
        <w:t>(2), 387-410.</w:t>
      </w:r>
    </w:p>
    <w:p w14:paraId="7B2A7006" w14:textId="77777777" w:rsidR="00B36DF9" w:rsidRPr="000A142D" w:rsidRDefault="00B36DF9" w:rsidP="00C82FD1">
      <w:pPr>
        <w:spacing w:line="360" w:lineRule="auto"/>
        <w:ind w:left="709" w:hanging="709"/>
        <w:jc w:val="both"/>
        <w:rPr>
          <w:szCs w:val="24"/>
          <w:shd w:val="clear" w:color="auto" w:fill="FFFFFF"/>
          <w:lang w:val="es-AR"/>
        </w:rPr>
      </w:pPr>
      <w:proofErr w:type="spellStart"/>
      <w:r w:rsidRPr="00127695">
        <w:rPr>
          <w:szCs w:val="24"/>
          <w:shd w:val="clear" w:color="auto" w:fill="FFFFFF"/>
          <w:lang w:val="en-US"/>
        </w:rPr>
        <w:t>Pulic</w:t>
      </w:r>
      <w:proofErr w:type="spellEnd"/>
      <w:r w:rsidRPr="00127695">
        <w:rPr>
          <w:szCs w:val="24"/>
          <w:shd w:val="clear" w:color="auto" w:fill="FFFFFF"/>
          <w:lang w:val="en-US"/>
        </w:rPr>
        <w:t xml:space="preserve">, A. (2000). VAICTM an accounting tool for IC management. </w:t>
      </w:r>
      <w:r w:rsidRPr="000A142D">
        <w:rPr>
          <w:i/>
          <w:szCs w:val="24"/>
          <w:shd w:val="clear" w:color="auto" w:fill="FFFFFF"/>
          <w:lang w:val="es-AR"/>
        </w:rPr>
        <w:t>Revista Internacional de Tecnología</w:t>
      </w:r>
      <w:r w:rsidRPr="000A142D">
        <w:rPr>
          <w:szCs w:val="24"/>
          <w:shd w:val="clear" w:color="auto" w:fill="FFFFFF"/>
          <w:lang w:val="es-AR"/>
        </w:rPr>
        <w:t>, 20(5), 702–714.</w:t>
      </w:r>
    </w:p>
    <w:p w14:paraId="26189E67" w14:textId="77777777" w:rsidR="00B36DF9" w:rsidRDefault="00B36DF9" w:rsidP="00C82FD1">
      <w:pPr>
        <w:spacing w:line="360" w:lineRule="auto"/>
        <w:ind w:left="709" w:hanging="709"/>
        <w:jc w:val="both"/>
        <w:rPr>
          <w:szCs w:val="24"/>
          <w:shd w:val="clear" w:color="auto" w:fill="FFFFFF"/>
          <w:lang w:val="en-US"/>
        </w:rPr>
      </w:pPr>
      <w:proofErr w:type="spellStart"/>
      <w:r w:rsidRPr="000A142D">
        <w:rPr>
          <w:szCs w:val="24"/>
          <w:shd w:val="clear" w:color="auto" w:fill="FFFFFF"/>
          <w:lang w:val="es-AR"/>
        </w:rPr>
        <w:t>Pulic</w:t>
      </w:r>
      <w:proofErr w:type="spellEnd"/>
      <w:r w:rsidRPr="000A142D">
        <w:rPr>
          <w:szCs w:val="24"/>
          <w:shd w:val="clear" w:color="auto" w:fill="FFFFFF"/>
          <w:lang w:val="es-AR"/>
        </w:rPr>
        <w:t xml:space="preserve">, A. (2004). </w:t>
      </w:r>
      <w:r w:rsidRPr="0087379E">
        <w:rPr>
          <w:szCs w:val="24"/>
          <w:shd w:val="clear" w:color="auto" w:fill="FFFFFF"/>
          <w:lang w:val="en-US"/>
        </w:rPr>
        <w:t>Intellectual capital - does it create or destroy value? </w:t>
      </w:r>
      <w:r w:rsidRPr="0087379E">
        <w:rPr>
          <w:i/>
          <w:szCs w:val="24"/>
          <w:shd w:val="clear" w:color="auto" w:fill="FFFFFF"/>
          <w:lang w:val="en-US"/>
        </w:rPr>
        <w:t>Measuring Business Excellence</w:t>
      </w:r>
      <w:r w:rsidRPr="0087379E">
        <w:rPr>
          <w:szCs w:val="24"/>
          <w:shd w:val="clear" w:color="auto" w:fill="FFFFFF"/>
          <w:lang w:val="en-US"/>
        </w:rPr>
        <w:t>, 8(1), 62-68. </w:t>
      </w:r>
    </w:p>
    <w:p w14:paraId="19819197" w14:textId="77777777" w:rsidR="00B36DF9" w:rsidRPr="00127695" w:rsidRDefault="00B36DF9" w:rsidP="00C82FD1">
      <w:pPr>
        <w:spacing w:line="360" w:lineRule="auto"/>
        <w:ind w:left="709" w:hanging="709"/>
        <w:jc w:val="both"/>
        <w:rPr>
          <w:szCs w:val="24"/>
          <w:shd w:val="clear" w:color="auto" w:fill="FFFFFF"/>
          <w:lang w:val="en-US"/>
        </w:rPr>
      </w:pPr>
      <w:proofErr w:type="spellStart"/>
      <w:r w:rsidRPr="00127695">
        <w:rPr>
          <w:szCs w:val="24"/>
          <w:shd w:val="clear" w:color="auto" w:fill="FFFFFF"/>
          <w:lang w:val="en-US"/>
        </w:rPr>
        <w:t>Pulic</w:t>
      </w:r>
      <w:proofErr w:type="spellEnd"/>
      <w:r w:rsidRPr="00127695">
        <w:rPr>
          <w:szCs w:val="24"/>
          <w:shd w:val="clear" w:color="auto" w:fill="FFFFFF"/>
          <w:lang w:val="en-US"/>
        </w:rPr>
        <w:t xml:space="preserve">, A. (2008). The Principles of intellectual capital efficiency. A brief description. </w:t>
      </w:r>
      <w:r w:rsidRPr="001B0CCD">
        <w:rPr>
          <w:i/>
          <w:szCs w:val="24"/>
          <w:shd w:val="clear" w:color="auto" w:fill="FFFFFF"/>
          <w:lang w:val="en-US"/>
        </w:rPr>
        <w:t>Croatian Intellectual Capital Center</w:t>
      </w:r>
      <w:r w:rsidRPr="00127695">
        <w:rPr>
          <w:szCs w:val="24"/>
          <w:shd w:val="clear" w:color="auto" w:fill="FFFFFF"/>
          <w:lang w:val="en-US"/>
        </w:rPr>
        <w:t xml:space="preserve">, 76, 1-24. </w:t>
      </w:r>
    </w:p>
    <w:p w14:paraId="1ABAFBDD" w14:textId="77777777" w:rsidR="00B36DF9" w:rsidRPr="00581174" w:rsidRDefault="00B36DF9" w:rsidP="00C82FD1">
      <w:pPr>
        <w:autoSpaceDE w:val="0"/>
        <w:autoSpaceDN w:val="0"/>
        <w:adjustRightInd w:val="0"/>
        <w:spacing w:line="360" w:lineRule="auto"/>
        <w:ind w:left="709" w:hanging="709"/>
        <w:jc w:val="both"/>
        <w:rPr>
          <w:szCs w:val="24"/>
        </w:rPr>
      </w:pPr>
      <w:proofErr w:type="spellStart"/>
      <w:r w:rsidRPr="00581174">
        <w:rPr>
          <w:szCs w:val="24"/>
          <w:lang w:val="en-US"/>
        </w:rPr>
        <w:t>Roos</w:t>
      </w:r>
      <w:proofErr w:type="spellEnd"/>
      <w:r w:rsidRPr="00581174">
        <w:rPr>
          <w:szCs w:val="24"/>
          <w:lang w:val="en-US"/>
        </w:rPr>
        <w:t xml:space="preserve">, G., </w:t>
      </w:r>
      <w:proofErr w:type="spellStart"/>
      <w:r w:rsidRPr="00581174">
        <w:rPr>
          <w:szCs w:val="24"/>
          <w:lang w:val="en-US"/>
        </w:rPr>
        <w:t>Roos</w:t>
      </w:r>
      <w:proofErr w:type="spellEnd"/>
      <w:r w:rsidRPr="00581174">
        <w:rPr>
          <w:szCs w:val="24"/>
          <w:lang w:val="en-US"/>
        </w:rPr>
        <w:t xml:space="preserve">, J., </w:t>
      </w:r>
      <w:proofErr w:type="spellStart"/>
      <w:r w:rsidRPr="00581174">
        <w:rPr>
          <w:szCs w:val="24"/>
          <w:lang w:val="en-US"/>
        </w:rPr>
        <w:t>Dragonetti</w:t>
      </w:r>
      <w:proofErr w:type="spellEnd"/>
      <w:r w:rsidRPr="00581174">
        <w:rPr>
          <w:szCs w:val="24"/>
          <w:lang w:val="en-US"/>
        </w:rPr>
        <w:t xml:space="preserve">, N. y </w:t>
      </w:r>
      <w:proofErr w:type="spellStart"/>
      <w:r w:rsidRPr="00581174">
        <w:rPr>
          <w:szCs w:val="24"/>
          <w:lang w:val="en-US"/>
        </w:rPr>
        <w:t>Edvinsson</w:t>
      </w:r>
      <w:proofErr w:type="spellEnd"/>
      <w:r w:rsidRPr="00581174">
        <w:rPr>
          <w:szCs w:val="24"/>
          <w:lang w:val="en-US"/>
        </w:rPr>
        <w:t xml:space="preserve">, L. (2001). </w:t>
      </w:r>
      <w:r w:rsidRPr="00581174">
        <w:rPr>
          <w:i/>
          <w:iCs/>
          <w:szCs w:val="24"/>
        </w:rPr>
        <w:t xml:space="preserve">Capital Intelectual. </w:t>
      </w:r>
      <w:r w:rsidRPr="00581174">
        <w:rPr>
          <w:szCs w:val="24"/>
        </w:rPr>
        <w:t>Buenos Aires: Paidós.</w:t>
      </w:r>
    </w:p>
    <w:p w14:paraId="125D14FF" w14:textId="77777777" w:rsidR="00B36DF9" w:rsidRPr="000A142D" w:rsidRDefault="00B36DF9" w:rsidP="00C82FD1">
      <w:pPr>
        <w:spacing w:line="360" w:lineRule="auto"/>
        <w:ind w:left="709" w:hanging="709"/>
        <w:jc w:val="both"/>
        <w:rPr>
          <w:lang w:val="en-US"/>
        </w:rPr>
      </w:pPr>
      <w:r>
        <w:t xml:space="preserve">Saavedra, G. (2004). La valuación de empresas en México: Aplicación del modelo de valor económico agregado 1991-2000. </w:t>
      </w:r>
      <w:proofErr w:type="spellStart"/>
      <w:r w:rsidRPr="000A142D">
        <w:rPr>
          <w:i/>
          <w:lang w:val="en-US"/>
        </w:rPr>
        <w:t>Revista</w:t>
      </w:r>
      <w:proofErr w:type="spellEnd"/>
      <w:r w:rsidRPr="000A142D">
        <w:rPr>
          <w:i/>
          <w:lang w:val="en-US"/>
        </w:rPr>
        <w:t xml:space="preserve"> </w:t>
      </w:r>
      <w:proofErr w:type="spellStart"/>
      <w:r w:rsidRPr="000A142D">
        <w:rPr>
          <w:i/>
          <w:lang w:val="en-US"/>
        </w:rPr>
        <w:t>Contaduría</w:t>
      </w:r>
      <w:proofErr w:type="spellEnd"/>
      <w:r w:rsidRPr="000A142D">
        <w:rPr>
          <w:i/>
          <w:lang w:val="en-US"/>
        </w:rPr>
        <w:t xml:space="preserve"> y </w:t>
      </w:r>
      <w:proofErr w:type="spellStart"/>
      <w:r w:rsidRPr="000A142D">
        <w:rPr>
          <w:i/>
          <w:lang w:val="en-US"/>
        </w:rPr>
        <w:t>Administración</w:t>
      </w:r>
      <w:proofErr w:type="spellEnd"/>
      <w:r w:rsidRPr="000A142D">
        <w:rPr>
          <w:lang w:val="en-US"/>
        </w:rPr>
        <w:t>, 214, 1-23.</w:t>
      </w:r>
    </w:p>
    <w:p w14:paraId="17FB2799" w14:textId="77777777" w:rsidR="00B36DF9" w:rsidRPr="00723714" w:rsidRDefault="00B36DF9" w:rsidP="00C82FD1">
      <w:pPr>
        <w:autoSpaceDE w:val="0"/>
        <w:autoSpaceDN w:val="0"/>
        <w:adjustRightInd w:val="0"/>
        <w:spacing w:line="360" w:lineRule="auto"/>
        <w:ind w:left="709" w:hanging="709"/>
        <w:jc w:val="both"/>
        <w:rPr>
          <w:szCs w:val="24"/>
          <w:shd w:val="clear" w:color="auto" w:fill="FFFFFF"/>
        </w:rPr>
      </w:pPr>
      <w:r w:rsidRPr="00723714">
        <w:rPr>
          <w:szCs w:val="24"/>
          <w:shd w:val="clear" w:color="auto" w:fill="FFFFFF"/>
          <w:lang w:val="en-US"/>
        </w:rPr>
        <w:t>Sharma, N. (2012). Intangible assets: A study of valuation methods. </w:t>
      </w:r>
      <w:r w:rsidRPr="00723714">
        <w:rPr>
          <w:i/>
          <w:szCs w:val="24"/>
          <w:shd w:val="clear" w:color="auto" w:fill="FFFFFF"/>
        </w:rPr>
        <w:t>BVIMR Management Edge, 5</w:t>
      </w:r>
      <w:r w:rsidRPr="00723714">
        <w:rPr>
          <w:szCs w:val="24"/>
          <w:shd w:val="clear" w:color="auto" w:fill="FFFFFF"/>
        </w:rPr>
        <w:t>(1), 61-69.</w:t>
      </w:r>
    </w:p>
    <w:p w14:paraId="192ACB76" w14:textId="77777777" w:rsidR="00B36DF9" w:rsidRPr="000A142D" w:rsidRDefault="00B36DF9" w:rsidP="00C82FD1">
      <w:pPr>
        <w:spacing w:line="360" w:lineRule="auto"/>
        <w:ind w:left="709" w:hanging="709"/>
        <w:jc w:val="both"/>
        <w:rPr>
          <w:bCs/>
          <w:szCs w:val="24"/>
          <w:shd w:val="clear" w:color="auto" w:fill="FFFFFF"/>
          <w:lang w:val="es-AR"/>
        </w:rPr>
      </w:pPr>
      <w:proofErr w:type="spellStart"/>
      <w:r w:rsidRPr="000A142D">
        <w:rPr>
          <w:szCs w:val="24"/>
          <w:shd w:val="clear" w:color="auto" w:fill="FFFFFF"/>
          <w:lang w:val="es-AR"/>
        </w:rPr>
        <w:t>Smolje</w:t>
      </w:r>
      <w:proofErr w:type="spellEnd"/>
      <w:r w:rsidRPr="000A142D">
        <w:rPr>
          <w:szCs w:val="24"/>
          <w:shd w:val="clear" w:color="auto" w:fill="FFFFFF"/>
          <w:lang w:val="es-AR"/>
        </w:rPr>
        <w:t>, A. (</w:t>
      </w:r>
      <w:proofErr w:type="gramStart"/>
      <w:r w:rsidRPr="000A142D">
        <w:rPr>
          <w:szCs w:val="24"/>
          <w:shd w:val="clear" w:color="auto" w:fill="FFFFFF"/>
          <w:lang w:val="es-AR"/>
        </w:rPr>
        <w:t>Septiembre</w:t>
      </w:r>
      <w:proofErr w:type="gramEnd"/>
      <w:r w:rsidRPr="000A142D">
        <w:rPr>
          <w:szCs w:val="24"/>
          <w:shd w:val="clear" w:color="auto" w:fill="FFFFFF"/>
          <w:lang w:val="es-AR"/>
        </w:rPr>
        <w:t xml:space="preserve"> 2003). EVA: claves para su aplicación. </w:t>
      </w:r>
      <w:r w:rsidRPr="000A142D">
        <w:rPr>
          <w:bCs/>
          <w:szCs w:val="24"/>
          <w:shd w:val="clear" w:color="auto" w:fill="FFFFFF"/>
          <w:lang w:val="es-AR"/>
        </w:rPr>
        <w:t>XXVI Congreso Argentino - La Plata IAPUCO. Argentina</w:t>
      </w:r>
    </w:p>
    <w:p w14:paraId="19CC2E29" w14:textId="77777777" w:rsidR="00B36DF9" w:rsidRPr="00581174" w:rsidRDefault="00B36DF9" w:rsidP="00C82FD1">
      <w:pPr>
        <w:autoSpaceDE w:val="0"/>
        <w:autoSpaceDN w:val="0"/>
        <w:adjustRightInd w:val="0"/>
        <w:spacing w:line="360" w:lineRule="auto"/>
        <w:ind w:left="709" w:hanging="709"/>
        <w:jc w:val="both"/>
        <w:rPr>
          <w:szCs w:val="24"/>
          <w:lang w:val="en-US"/>
        </w:rPr>
      </w:pPr>
      <w:r w:rsidRPr="00581174">
        <w:rPr>
          <w:szCs w:val="24"/>
        </w:rPr>
        <w:t xml:space="preserve">Stewart, T. (1998). </w:t>
      </w:r>
      <w:r w:rsidRPr="00581174">
        <w:rPr>
          <w:i/>
          <w:iCs/>
          <w:szCs w:val="24"/>
        </w:rPr>
        <w:t xml:space="preserve">La nueva riqueza de las organizaciones: El capital intelectual. </w:t>
      </w:r>
      <w:r w:rsidRPr="00581174">
        <w:rPr>
          <w:iCs/>
          <w:szCs w:val="24"/>
          <w:lang w:val="en-US"/>
        </w:rPr>
        <w:t xml:space="preserve">Buenos Aires: </w:t>
      </w:r>
      <w:proofErr w:type="spellStart"/>
      <w:r w:rsidRPr="00581174">
        <w:rPr>
          <w:szCs w:val="24"/>
          <w:lang w:val="en-US"/>
        </w:rPr>
        <w:t>Ediciones</w:t>
      </w:r>
      <w:proofErr w:type="spellEnd"/>
      <w:r w:rsidRPr="00581174">
        <w:rPr>
          <w:szCs w:val="24"/>
          <w:lang w:val="en-US"/>
        </w:rPr>
        <w:t xml:space="preserve"> </w:t>
      </w:r>
      <w:proofErr w:type="spellStart"/>
      <w:r w:rsidRPr="00581174">
        <w:rPr>
          <w:szCs w:val="24"/>
          <w:lang w:val="en-US"/>
        </w:rPr>
        <w:t>Granica</w:t>
      </w:r>
      <w:proofErr w:type="spellEnd"/>
      <w:r w:rsidRPr="00581174">
        <w:rPr>
          <w:szCs w:val="24"/>
          <w:lang w:val="en-US"/>
        </w:rPr>
        <w:t>.</w:t>
      </w:r>
    </w:p>
    <w:p w14:paraId="49138887" w14:textId="77777777" w:rsidR="00B36DF9" w:rsidRPr="00581174" w:rsidRDefault="00B36DF9" w:rsidP="00C82FD1">
      <w:pPr>
        <w:autoSpaceDE w:val="0"/>
        <w:autoSpaceDN w:val="0"/>
        <w:adjustRightInd w:val="0"/>
        <w:spacing w:line="360" w:lineRule="auto"/>
        <w:ind w:left="709" w:hanging="709"/>
        <w:jc w:val="both"/>
        <w:rPr>
          <w:szCs w:val="24"/>
        </w:rPr>
      </w:pPr>
      <w:proofErr w:type="spellStart"/>
      <w:r w:rsidRPr="00581174">
        <w:rPr>
          <w:szCs w:val="24"/>
          <w:shd w:val="clear" w:color="auto" w:fill="FFFFFF"/>
          <w:lang w:val="en-US"/>
        </w:rPr>
        <w:t>Sveiby</w:t>
      </w:r>
      <w:proofErr w:type="spellEnd"/>
      <w:r w:rsidRPr="00581174">
        <w:rPr>
          <w:szCs w:val="24"/>
          <w:shd w:val="clear" w:color="auto" w:fill="FFFFFF"/>
          <w:lang w:val="en-US"/>
        </w:rPr>
        <w:t>, K. (2010). Methods for measuring intangible assets.</w:t>
      </w:r>
      <w:r w:rsidRPr="00581174">
        <w:rPr>
          <w:rStyle w:val="apple-converted-space"/>
          <w:szCs w:val="24"/>
          <w:shd w:val="clear" w:color="auto" w:fill="FFFFFF"/>
          <w:lang w:val="en-US"/>
        </w:rPr>
        <w:t> </w:t>
      </w:r>
      <w:r w:rsidRPr="00581174">
        <w:rPr>
          <w:rStyle w:val="apple-converted-space"/>
          <w:szCs w:val="24"/>
          <w:shd w:val="clear" w:color="auto" w:fill="FFFFFF"/>
        </w:rPr>
        <w:t xml:space="preserve">Recuperado el </w:t>
      </w:r>
      <w:r w:rsidRPr="00581174">
        <w:rPr>
          <w:szCs w:val="24"/>
        </w:rPr>
        <w:t>14 de junio de 2018, desde</w:t>
      </w:r>
      <w:r w:rsidRPr="00581174">
        <w:rPr>
          <w:rStyle w:val="apple-converted-space"/>
          <w:szCs w:val="24"/>
          <w:shd w:val="clear" w:color="auto" w:fill="FFFFFF"/>
        </w:rPr>
        <w:t xml:space="preserve"> https://www.sveiby.com/article/Methods-for-Measuring-Intangible-Assets</w:t>
      </w:r>
      <w:r w:rsidRPr="00581174">
        <w:rPr>
          <w:szCs w:val="24"/>
        </w:rPr>
        <w:t>.</w:t>
      </w:r>
    </w:p>
    <w:p w14:paraId="0D696E46" w14:textId="77777777" w:rsidR="00B36DF9" w:rsidRPr="000A142D" w:rsidRDefault="00B36DF9" w:rsidP="00C82FD1">
      <w:pPr>
        <w:autoSpaceDE w:val="0"/>
        <w:autoSpaceDN w:val="0"/>
        <w:adjustRightInd w:val="0"/>
        <w:spacing w:line="360" w:lineRule="auto"/>
        <w:ind w:left="709" w:hanging="709"/>
        <w:jc w:val="both"/>
        <w:rPr>
          <w:szCs w:val="24"/>
          <w:lang w:val="es-AR"/>
        </w:rPr>
      </w:pPr>
      <w:r w:rsidRPr="00723714">
        <w:rPr>
          <w:szCs w:val="24"/>
        </w:rPr>
        <w:t xml:space="preserve">Vázquez, R. y </w:t>
      </w:r>
      <w:proofErr w:type="spellStart"/>
      <w:r w:rsidRPr="00723714">
        <w:rPr>
          <w:szCs w:val="24"/>
        </w:rPr>
        <w:t>Bongianino</w:t>
      </w:r>
      <w:proofErr w:type="spellEnd"/>
      <w:r w:rsidRPr="00723714">
        <w:rPr>
          <w:szCs w:val="24"/>
        </w:rPr>
        <w:t xml:space="preserve">, C. (2005). </w:t>
      </w:r>
      <w:r w:rsidRPr="00723714">
        <w:rPr>
          <w:i/>
          <w:szCs w:val="24"/>
        </w:rPr>
        <w:t>Los Intangibles y la Contabilidad</w:t>
      </w:r>
      <w:r w:rsidRPr="00723714">
        <w:rPr>
          <w:szCs w:val="24"/>
        </w:rPr>
        <w:t xml:space="preserve">. </w:t>
      </w:r>
      <w:r w:rsidRPr="000A142D">
        <w:rPr>
          <w:szCs w:val="24"/>
          <w:lang w:val="es-AR"/>
        </w:rPr>
        <w:t xml:space="preserve">Buenos Aires: </w:t>
      </w:r>
      <w:proofErr w:type="spellStart"/>
      <w:r w:rsidRPr="000A142D">
        <w:rPr>
          <w:szCs w:val="24"/>
          <w:lang w:val="es-AR"/>
        </w:rPr>
        <w:t>Errepar</w:t>
      </w:r>
      <w:proofErr w:type="spellEnd"/>
      <w:r w:rsidRPr="000A142D">
        <w:rPr>
          <w:szCs w:val="24"/>
          <w:lang w:val="es-AR"/>
        </w:rPr>
        <w:t>.</w:t>
      </w:r>
    </w:p>
    <w:p w14:paraId="20B834FF" w14:textId="77777777" w:rsidR="00B36DF9" w:rsidRPr="00127695" w:rsidRDefault="00B36DF9" w:rsidP="00C82FD1">
      <w:pPr>
        <w:spacing w:line="360" w:lineRule="auto"/>
        <w:ind w:left="709" w:hanging="709"/>
        <w:jc w:val="both"/>
        <w:rPr>
          <w:szCs w:val="24"/>
          <w:shd w:val="clear" w:color="auto" w:fill="FFFFFF"/>
          <w:lang w:val="en-US"/>
        </w:rPr>
      </w:pPr>
      <w:r w:rsidRPr="000A142D">
        <w:rPr>
          <w:szCs w:val="24"/>
          <w:shd w:val="clear" w:color="auto" w:fill="FFFFFF"/>
          <w:lang w:val="es-AR"/>
        </w:rPr>
        <w:t xml:space="preserve">Villegas, E., Hernández, M. y Salazar, B. (2017). La medición del capital intelectual y su impacto en el rendimiento financiero en empresas del sector industrial en México. </w:t>
      </w:r>
      <w:proofErr w:type="spellStart"/>
      <w:r w:rsidRPr="00C27591">
        <w:rPr>
          <w:i/>
          <w:szCs w:val="24"/>
          <w:shd w:val="clear" w:color="auto" w:fill="FFFFFF"/>
          <w:lang w:val="en-US"/>
        </w:rPr>
        <w:t>Contaduría</w:t>
      </w:r>
      <w:proofErr w:type="spellEnd"/>
      <w:r w:rsidRPr="00C27591">
        <w:rPr>
          <w:i/>
          <w:szCs w:val="24"/>
          <w:shd w:val="clear" w:color="auto" w:fill="FFFFFF"/>
          <w:lang w:val="en-US"/>
        </w:rPr>
        <w:t xml:space="preserve"> y </w:t>
      </w:r>
      <w:proofErr w:type="spellStart"/>
      <w:r w:rsidRPr="00C27591">
        <w:rPr>
          <w:i/>
          <w:szCs w:val="24"/>
          <w:shd w:val="clear" w:color="auto" w:fill="FFFFFF"/>
          <w:lang w:val="en-US"/>
        </w:rPr>
        <w:t>Administración</w:t>
      </w:r>
      <w:proofErr w:type="spellEnd"/>
      <w:r w:rsidRPr="00127695">
        <w:rPr>
          <w:szCs w:val="24"/>
          <w:shd w:val="clear" w:color="auto" w:fill="FFFFFF"/>
          <w:lang w:val="en-US"/>
        </w:rPr>
        <w:t>, 62, 184–206.</w:t>
      </w:r>
    </w:p>
    <w:p w14:paraId="55D5CBA4" w14:textId="77777777" w:rsidR="00B36DF9" w:rsidRDefault="00B36DF9" w:rsidP="00C82FD1">
      <w:pPr>
        <w:spacing w:line="360" w:lineRule="auto"/>
        <w:ind w:left="709" w:hanging="709"/>
        <w:jc w:val="both"/>
        <w:rPr>
          <w:szCs w:val="24"/>
          <w:shd w:val="clear" w:color="auto" w:fill="FFFFFF"/>
          <w:lang w:val="en-US"/>
        </w:rPr>
      </w:pPr>
      <w:proofErr w:type="spellStart"/>
      <w:r w:rsidRPr="00723714">
        <w:rPr>
          <w:szCs w:val="24"/>
          <w:shd w:val="clear" w:color="auto" w:fill="FFFFFF"/>
          <w:lang w:val="en-US"/>
        </w:rPr>
        <w:t>Zambon</w:t>
      </w:r>
      <w:proofErr w:type="spellEnd"/>
      <w:r w:rsidRPr="00723714">
        <w:rPr>
          <w:szCs w:val="24"/>
          <w:shd w:val="clear" w:color="auto" w:fill="FFFFFF"/>
          <w:lang w:val="en-US"/>
        </w:rPr>
        <w:t xml:space="preserve">, S. (2017). Intangibles and intellectual capital: An overview of the reporting issues and some measurement models. </w:t>
      </w:r>
      <w:proofErr w:type="spellStart"/>
      <w:r w:rsidRPr="00723714">
        <w:rPr>
          <w:szCs w:val="24"/>
          <w:shd w:val="clear" w:color="auto" w:fill="FFFFFF"/>
          <w:lang w:val="en-US"/>
        </w:rPr>
        <w:t>En</w:t>
      </w:r>
      <w:proofErr w:type="spellEnd"/>
      <w:r w:rsidRPr="00723714">
        <w:rPr>
          <w:szCs w:val="24"/>
          <w:shd w:val="clear" w:color="auto" w:fill="FFFFFF"/>
          <w:lang w:val="en-US"/>
        </w:rPr>
        <w:t xml:space="preserve"> P. Bianchi y S. </w:t>
      </w:r>
      <w:proofErr w:type="spellStart"/>
      <w:r w:rsidRPr="00723714">
        <w:rPr>
          <w:szCs w:val="24"/>
          <w:shd w:val="clear" w:color="auto" w:fill="FFFFFF"/>
          <w:lang w:val="en-US"/>
        </w:rPr>
        <w:t>Labory</w:t>
      </w:r>
      <w:proofErr w:type="spellEnd"/>
      <w:r w:rsidRPr="00723714">
        <w:rPr>
          <w:szCs w:val="24"/>
          <w:shd w:val="clear" w:color="auto" w:fill="FFFFFF"/>
          <w:lang w:val="en-US"/>
        </w:rPr>
        <w:t xml:space="preserve"> (Eds.), </w:t>
      </w:r>
      <w:r w:rsidRPr="00723714">
        <w:rPr>
          <w:i/>
          <w:iCs/>
          <w:szCs w:val="24"/>
          <w:shd w:val="clear" w:color="auto" w:fill="FFFFFF"/>
          <w:lang w:val="en-US"/>
        </w:rPr>
        <w:t>The economic importance of intangible assets</w:t>
      </w:r>
      <w:r w:rsidRPr="00723714">
        <w:rPr>
          <w:szCs w:val="24"/>
          <w:shd w:val="clear" w:color="auto" w:fill="FFFFFF"/>
          <w:lang w:val="en-US"/>
        </w:rPr>
        <w:t> (pp. 165-196). London: Routledge.</w:t>
      </w:r>
    </w:p>
    <w:p w14:paraId="511FA1A2" w14:textId="7F297920" w:rsidR="004E6390" w:rsidRPr="00CA0DE8" w:rsidRDefault="004E6390" w:rsidP="009032C7">
      <w:pPr>
        <w:spacing w:line="360" w:lineRule="auto"/>
        <w:jc w:val="both"/>
        <w:rPr>
          <w:szCs w:val="24"/>
        </w:rPr>
      </w:pPr>
    </w:p>
    <w:sectPr w:rsidR="004E6390" w:rsidRPr="00CA0DE8" w:rsidSect="009032C7">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B7693" w14:textId="77777777" w:rsidR="00751618" w:rsidRDefault="00751618" w:rsidP="003D1876">
      <w:r>
        <w:separator/>
      </w:r>
    </w:p>
  </w:endnote>
  <w:endnote w:type="continuationSeparator" w:id="0">
    <w:p w14:paraId="43C68281" w14:textId="77777777" w:rsidR="00751618" w:rsidRDefault="00751618" w:rsidP="003D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294636"/>
      <w:docPartObj>
        <w:docPartGallery w:val="Page Numbers (Bottom of Page)"/>
        <w:docPartUnique/>
      </w:docPartObj>
    </w:sdtPr>
    <w:sdtEndPr/>
    <w:sdtContent>
      <w:p w14:paraId="45432BE4" w14:textId="3109F090" w:rsidR="00D12EC2" w:rsidRDefault="00D12EC2">
        <w:pPr>
          <w:pStyle w:val="Piedepgina"/>
          <w:jc w:val="right"/>
        </w:pPr>
        <w:r w:rsidRPr="006F473A">
          <w:rPr>
            <w:rFonts w:ascii="Arial" w:hAnsi="Arial" w:cs="Arial"/>
            <w:sz w:val="18"/>
            <w:szCs w:val="18"/>
          </w:rPr>
          <w:fldChar w:fldCharType="begin"/>
        </w:r>
        <w:r w:rsidRPr="006F473A">
          <w:rPr>
            <w:rFonts w:ascii="Arial" w:hAnsi="Arial" w:cs="Arial"/>
            <w:sz w:val="18"/>
            <w:szCs w:val="18"/>
          </w:rPr>
          <w:instrText>PAGE   \* MERGEFORMAT</w:instrText>
        </w:r>
        <w:r w:rsidRPr="006F473A">
          <w:rPr>
            <w:rFonts w:ascii="Arial" w:hAnsi="Arial" w:cs="Arial"/>
            <w:sz w:val="18"/>
            <w:szCs w:val="18"/>
          </w:rPr>
          <w:fldChar w:fldCharType="separate"/>
        </w:r>
        <w:r w:rsidR="00C82FD1">
          <w:rPr>
            <w:rFonts w:ascii="Arial" w:hAnsi="Arial" w:cs="Arial"/>
            <w:noProof/>
            <w:sz w:val="18"/>
            <w:szCs w:val="18"/>
          </w:rPr>
          <w:t>15</w:t>
        </w:r>
        <w:r w:rsidRPr="006F473A">
          <w:rPr>
            <w:rFonts w:ascii="Arial" w:hAnsi="Arial" w:cs="Arial"/>
            <w:sz w:val="18"/>
            <w:szCs w:val="18"/>
          </w:rPr>
          <w:fldChar w:fldCharType="end"/>
        </w:r>
      </w:p>
    </w:sdtContent>
  </w:sdt>
  <w:p w14:paraId="3CF792A9" w14:textId="77777777" w:rsidR="00D12EC2" w:rsidRDefault="00D12E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B2693" w14:textId="77777777" w:rsidR="00751618" w:rsidRDefault="00751618" w:rsidP="003D1876">
      <w:r>
        <w:separator/>
      </w:r>
    </w:p>
  </w:footnote>
  <w:footnote w:type="continuationSeparator" w:id="0">
    <w:p w14:paraId="4B925A30" w14:textId="77777777" w:rsidR="00751618" w:rsidRDefault="00751618" w:rsidP="003D1876">
      <w:r>
        <w:continuationSeparator/>
      </w:r>
    </w:p>
  </w:footnote>
  <w:footnote w:id="1">
    <w:p w14:paraId="0F1E7F58" w14:textId="77777777" w:rsidR="00D12EC2" w:rsidRPr="00885463" w:rsidRDefault="00D12EC2" w:rsidP="001320EE">
      <w:pPr>
        <w:pStyle w:val="Textonotapie"/>
        <w:jc w:val="both"/>
      </w:pPr>
      <w:r w:rsidRPr="00885463">
        <w:rPr>
          <w:rStyle w:val="Refdenotaalpie"/>
        </w:rPr>
        <w:footnoteRef/>
      </w:r>
      <w:r w:rsidRPr="00885463">
        <w:t xml:space="preserve"> </w:t>
      </w:r>
      <w:proofErr w:type="spellStart"/>
      <w:r w:rsidRPr="00885463">
        <w:t>Sveiby</w:t>
      </w:r>
      <w:proofErr w:type="spellEnd"/>
      <w:r w:rsidRPr="00885463">
        <w:t xml:space="preserve"> (2010) emplea la sigla ROA para referir a estos métodos. No obstante, se ha considerado más apropiado usar la sigla MBRA para evitar la confusión entre las distintas mediciones involucradas en este conjunto de métodos con el indicador económico de rentabilidad de los activos, habitualmente conocido como ROA.</w:t>
      </w:r>
    </w:p>
  </w:footnote>
  <w:footnote w:id="2">
    <w:p w14:paraId="10A2517D" w14:textId="6C915313" w:rsidR="005F5A10" w:rsidRPr="008174AD" w:rsidRDefault="008174AD" w:rsidP="00C57BE6">
      <w:pPr>
        <w:pStyle w:val="Textonotapie"/>
        <w:jc w:val="both"/>
        <w:rPr>
          <w:lang w:val="es-AR"/>
        </w:rPr>
      </w:pPr>
      <w:r>
        <w:rPr>
          <w:rStyle w:val="Refdenotaalpie"/>
        </w:rPr>
        <w:footnoteRef/>
      </w:r>
      <w:r>
        <w:t xml:space="preserve"> </w:t>
      </w:r>
      <w:r>
        <w:rPr>
          <w:lang w:val="es-AR"/>
        </w:rPr>
        <w:t xml:space="preserve">Este cálculo hace referencia al modelo </w:t>
      </w:r>
      <w:r w:rsidR="005F5A10">
        <w:rPr>
          <w:lang w:val="es-AR"/>
        </w:rPr>
        <w:t xml:space="preserve">VAIC modificado (MVAIC) </w:t>
      </w:r>
      <w:r w:rsidR="005F5A10">
        <w:t xml:space="preserve">en el que se agrega un indicador de eficiencia en el uso del </w:t>
      </w:r>
      <w:r w:rsidR="00A65E76">
        <w:t xml:space="preserve">CR </w:t>
      </w:r>
      <w:r w:rsidR="005F5A10">
        <w:t>y una medida del capital de innovación para lograr una m</w:t>
      </w:r>
      <w:r w:rsidR="00C57BE6">
        <w:t>étrica</w:t>
      </w:r>
      <w:r w:rsidR="005F5A10">
        <w:t xml:space="preserve"> más comprensiva de los diferentes elementos que involucra el 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087"/>
    <w:multiLevelType w:val="hybridMultilevel"/>
    <w:tmpl w:val="FA02E008"/>
    <w:lvl w:ilvl="0" w:tplc="945CF58E">
      <w:start w:val="2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D4E111A"/>
    <w:multiLevelType w:val="multilevel"/>
    <w:tmpl w:val="952EA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400958"/>
    <w:multiLevelType w:val="hybridMultilevel"/>
    <w:tmpl w:val="A776E44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2693CB5"/>
    <w:multiLevelType w:val="hybridMultilevel"/>
    <w:tmpl w:val="E9C613E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43A10B1"/>
    <w:multiLevelType w:val="multilevel"/>
    <w:tmpl w:val="FC62D2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5393AC9"/>
    <w:multiLevelType w:val="hybridMultilevel"/>
    <w:tmpl w:val="F53C897A"/>
    <w:lvl w:ilvl="0" w:tplc="065E84D2">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7756656"/>
    <w:multiLevelType w:val="hybridMultilevel"/>
    <w:tmpl w:val="5CA476B0"/>
    <w:lvl w:ilvl="0" w:tplc="D5E8B96E">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8D36613"/>
    <w:multiLevelType w:val="hybridMultilevel"/>
    <w:tmpl w:val="848C963C"/>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8" w15:restartNumberingAfterBreak="0">
    <w:nsid w:val="2E662E63"/>
    <w:multiLevelType w:val="hybridMultilevel"/>
    <w:tmpl w:val="9374345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5571886"/>
    <w:multiLevelType w:val="hybridMultilevel"/>
    <w:tmpl w:val="5014836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C6E78BA"/>
    <w:multiLevelType w:val="hybridMultilevel"/>
    <w:tmpl w:val="CD18B16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E806550"/>
    <w:multiLevelType w:val="multilevel"/>
    <w:tmpl w:val="E94456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3C4443"/>
    <w:multiLevelType w:val="multilevel"/>
    <w:tmpl w:val="24D8C1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83A0DC7"/>
    <w:multiLevelType w:val="hybridMultilevel"/>
    <w:tmpl w:val="5530AC7C"/>
    <w:lvl w:ilvl="0" w:tplc="B0483F14">
      <w:start w:val="2"/>
      <w:numFmt w:val="bullet"/>
      <w:lvlText w:val=""/>
      <w:lvlJc w:val="left"/>
      <w:pPr>
        <w:ind w:left="720" w:hanging="360"/>
      </w:pPr>
      <w:rPr>
        <w:rFonts w:ascii="Symbol" w:eastAsia="Times New Roman" w:hAnsi="Symbol" w:cs="Times New Roman" w:hint="default"/>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A892C8A"/>
    <w:multiLevelType w:val="hybridMultilevel"/>
    <w:tmpl w:val="96269CB6"/>
    <w:lvl w:ilvl="0" w:tplc="4D3208B6">
      <w:start w:val="1"/>
      <w:numFmt w:val="low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5" w15:restartNumberingAfterBreak="0">
    <w:nsid w:val="53F65A3C"/>
    <w:multiLevelType w:val="hybridMultilevel"/>
    <w:tmpl w:val="98C6798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95A2D05"/>
    <w:multiLevelType w:val="hybridMultilevel"/>
    <w:tmpl w:val="E286BA5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5F447913"/>
    <w:multiLevelType w:val="multilevel"/>
    <w:tmpl w:val="580C36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A9110F"/>
    <w:multiLevelType w:val="multilevel"/>
    <w:tmpl w:val="CA22FC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8292F17"/>
    <w:multiLevelType w:val="hybridMultilevel"/>
    <w:tmpl w:val="7972937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BD2269B"/>
    <w:multiLevelType w:val="hybridMultilevel"/>
    <w:tmpl w:val="7CBE0E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FC784E"/>
    <w:multiLevelType w:val="hybridMultilevel"/>
    <w:tmpl w:val="A57066F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5E94739"/>
    <w:multiLevelType w:val="multilevel"/>
    <w:tmpl w:val="2974A5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73458A5"/>
    <w:multiLevelType w:val="hybridMultilevel"/>
    <w:tmpl w:val="65EC731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74848F9"/>
    <w:multiLevelType w:val="multilevel"/>
    <w:tmpl w:val="5CAC88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A572C22"/>
    <w:multiLevelType w:val="hybridMultilevel"/>
    <w:tmpl w:val="818AF24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EC3556A"/>
    <w:multiLevelType w:val="hybridMultilevel"/>
    <w:tmpl w:val="FD7E807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F9F3D48"/>
    <w:multiLevelType w:val="hybridMultilevel"/>
    <w:tmpl w:val="8CFC1F26"/>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8"/>
  </w:num>
  <w:num w:numId="4">
    <w:abstractNumId w:val="1"/>
  </w:num>
  <w:num w:numId="5">
    <w:abstractNumId w:val="10"/>
  </w:num>
  <w:num w:numId="6">
    <w:abstractNumId w:val="3"/>
  </w:num>
  <w:num w:numId="7">
    <w:abstractNumId w:val="16"/>
  </w:num>
  <w:num w:numId="8">
    <w:abstractNumId w:val="22"/>
  </w:num>
  <w:num w:numId="9">
    <w:abstractNumId w:val="11"/>
  </w:num>
  <w:num w:numId="10">
    <w:abstractNumId w:val="12"/>
  </w:num>
  <w:num w:numId="11">
    <w:abstractNumId w:val="17"/>
  </w:num>
  <w:num w:numId="12">
    <w:abstractNumId w:val="4"/>
  </w:num>
  <w:num w:numId="13">
    <w:abstractNumId w:val="24"/>
  </w:num>
  <w:num w:numId="14">
    <w:abstractNumId w:val="9"/>
  </w:num>
  <w:num w:numId="15">
    <w:abstractNumId w:val="2"/>
  </w:num>
  <w:num w:numId="16">
    <w:abstractNumId w:val="23"/>
  </w:num>
  <w:num w:numId="17">
    <w:abstractNumId w:val="8"/>
  </w:num>
  <w:num w:numId="18">
    <w:abstractNumId w:val="25"/>
  </w:num>
  <w:num w:numId="19">
    <w:abstractNumId w:val="14"/>
  </w:num>
  <w:num w:numId="20">
    <w:abstractNumId w:val="26"/>
  </w:num>
  <w:num w:numId="21">
    <w:abstractNumId w:val="15"/>
  </w:num>
  <w:num w:numId="22">
    <w:abstractNumId w:val="19"/>
  </w:num>
  <w:num w:numId="23">
    <w:abstractNumId w:val="21"/>
  </w:num>
  <w:num w:numId="24">
    <w:abstractNumId w:val="7"/>
  </w:num>
  <w:num w:numId="25">
    <w:abstractNumId w:val="20"/>
  </w:num>
  <w:num w:numId="26">
    <w:abstractNumId w:val="5"/>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A1"/>
    <w:rsid w:val="00000379"/>
    <w:rsid w:val="00001C3C"/>
    <w:rsid w:val="00002F6A"/>
    <w:rsid w:val="000063B4"/>
    <w:rsid w:val="00006DEE"/>
    <w:rsid w:val="000075D3"/>
    <w:rsid w:val="000078BC"/>
    <w:rsid w:val="000107D9"/>
    <w:rsid w:val="0001128B"/>
    <w:rsid w:val="000129DA"/>
    <w:rsid w:val="00016EA5"/>
    <w:rsid w:val="00025DB4"/>
    <w:rsid w:val="0002636E"/>
    <w:rsid w:val="00027AEF"/>
    <w:rsid w:val="00030268"/>
    <w:rsid w:val="000361E1"/>
    <w:rsid w:val="00036D2A"/>
    <w:rsid w:val="00042797"/>
    <w:rsid w:val="00043727"/>
    <w:rsid w:val="000467D5"/>
    <w:rsid w:val="00047CF8"/>
    <w:rsid w:val="0005069E"/>
    <w:rsid w:val="00051F0D"/>
    <w:rsid w:val="00052023"/>
    <w:rsid w:val="0005438E"/>
    <w:rsid w:val="0005488E"/>
    <w:rsid w:val="00054E86"/>
    <w:rsid w:val="00055CAF"/>
    <w:rsid w:val="000576F0"/>
    <w:rsid w:val="000670E0"/>
    <w:rsid w:val="000718BC"/>
    <w:rsid w:val="000726EB"/>
    <w:rsid w:val="0007387F"/>
    <w:rsid w:val="0007586C"/>
    <w:rsid w:val="000766A7"/>
    <w:rsid w:val="00080563"/>
    <w:rsid w:val="00082A54"/>
    <w:rsid w:val="00085B4F"/>
    <w:rsid w:val="00090812"/>
    <w:rsid w:val="000A142D"/>
    <w:rsid w:val="000A66E9"/>
    <w:rsid w:val="000A799B"/>
    <w:rsid w:val="000B27F4"/>
    <w:rsid w:val="000B2A0F"/>
    <w:rsid w:val="000B59CE"/>
    <w:rsid w:val="000B5E3F"/>
    <w:rsid w:val="000B75E3"/>
    <w:rsid w:val="000B75EA"/>
    <w:rsid w:val="000B78C4"/>
    <w:rsid w:val="000B792A"/>
    <w:rsid w:val="000C4F84"/>
    <w:rsid w:val="000C7235"/>
    <w:rsid w:val="000C7872"/>
    <w:rsid w:val="000D2808"/>
    <w:rsid w:val="000D5A89"/>
    <w:rsid w:val="000E19AD"/>
    <w:rsid w:val="000E23F0"/>
    <w:rsid w:val="000E26D7"/>
    <w:rsid w:val="000E2C34"/>
    <w:rsid w:val="000E3B5B"/>
    <w:rsid w:val="000E4885"/>
    <w:rsid w:val="000E50FF"/>
    <w:rsid w:val="000F197F"/>
    <w:rsid w:val="000F1F10"/>
    <w:rsid w:val="000F297D"/>
    <w:rsid w:val="000F370E"/>
    <w:rsid w:val="000F3A98"/>
    <w:rsid w:val="001046A1"/>
    <w:rsid w:val="00111172"/>
    <w:rsid w:val="00111F83"/>
    <w:rsid w:val="001148D3"/>
    <w:rsid w:val="0011548E"/>
    <w:rsid w:val="001169B0"/>
    <w:rsid w:val="00116A7B"/>
    <w:rsid w:val="001243BD"/>
    <w:rsid w:val="001271A1"/>
    <w:rsid w:val="00127695"/>
    <w:rsid w:val="00131E56"/>
    <w:rsid w:val="001320A8"/>
    <w:rsid w:val="001320EE"/>
    <w:rsid w:val="00137F00"/>
    <w:rsid w:val="001408D6"/>
    <w:rsid w:val="00151B8D"/>
    <w:rsid w:val="00157B94"/>
    <w:rsid w:val="00157E8C"/>
    <w:rsid w:val="001608B2"/>
    <w:rsid w:val="0016172D"/>
    <w:rsid w:val="00167C0D"/>
    <w:rsid w:val="00167ED8"/>
    <w:rsid w:val="00171C18"/>
    <w:rsid w:val="00172603"/>
    <w:rsid w:val="0017550E"/>
    <w:rsid w:val="0017566D"/>
    <w:rsid w:val="00175C5D"/>
    <w:rsid w:val="0018129B"/>
    <w:rsid w:val="0018164A"/>
    <w:rsid w:val="001826AA"/>
    <w:rsid w:val="001845E0"/>
    <w:rsid w:val="00186A33"/>
    <w:rsid w:val="00192322"/>
    <w:rsid w:val="00193796"/>
    <w:rsid w:val="001967B7"/>
    <w:rsid w:val="001A26DF"/>
    <w:rsid w:val="001A5D24"/>
    <w:rsid w:val="001B0CCD"/>
    <w:rsid w:val="001C445D"/>
    <w:rsid w:val="001C625E"/>
    <w:rsid w:val="001D362C"/>
    <w:rsid w:val="001E0692"/>
    <w:rsid w:val="001E63AB"/>
    <w:rsid w:val="001E79EF"/>
    <w:rsid w:val="001F2687"/>
    <w:rsid w:val="001F330C"/>
    <w:rsid w:val="001F6062"/>
    <w:rsid w:val="001F7AC6"/>
    <w:rsid w:val="00204917"/>
    <w:rsid w:val="00205560"/>
    <w:rsid w:val="002147A4"/>
    <w:rsid w:val="0021497F"/>
    <w:rsid w:val="002164E4"/>
    <w:rsid w:val="00221042"/>
    <w:rsid w:val="002217D9"/>
    <w:rsid w:val="002224D3"/>
    <w:rsid w:val="00224AED"/>
    <w:rsid w:val="00225294"/>
    <w:rsid w:val="002255FE"/>
    <w:rsid w:val="002275B3"/>
    <w:rsid w:val="00236258"/>
    <w:rsid w:val="002362BF"/>
    <w:rsid w:val="002449EF"/>
    <w:rsid w:val="00246EA2"/>
    <w:rsid w:val="00246F7C"/>
    <w:rsid w:val="0025529B"/>
    <w:rsid w:val="00256211"/>
    <w:rsid w:val="00256B35"/>
    <w:rsid w:val="00260776"/>
    <w:rsid w:val="002609C1"/>
    <w:rsid w:val="00262B34"/>
    <w:rsid w:val="00264027"/>
    <w:rsid w:val="0027077D"/>
    <w:rsid w:val="00270B09"/>
    <w:rsid w:val="00271134"/>
    <w:rsid w:val="0027283D"/>
    <w:rsid w:val="002728F7"/>
    <w:rsid w:val="00273114"/>
    <w:rsid w:val="0027574F"/>
    <w:rsid w:val="002762FA"/>
    <w:rsid w:val="00276CAF"/>
    <w:rsid w:val="00277D31"/>
    <w:rsid w:val="00280B9F"/>
    <w:rsid w:val="002820F1"/>
    <w:rsid w:val="00283C03"/>
    <w:rsid w:val="00294BA0"/>
    <w:rsid w:val="00295E17"/>
    <w:rsid w:val="002A0F9C"/>
    <w:rsid w:val="002A24F8"/>
    <w:rsid w:val="002A55DC"/>
    <w:rsid w:val="002A5DBB"/>
    <w:rsid w:val="002B0A3E"/>
    <w:rsid w:val="002B30D1"/>
    <w:rsid w:val="002B3B42"/>
    <w:rsid w:val="002B3E01"/>
    <w:rsid w:val="002B7B28"/>
    <w:rsid w:val="002C5240"/>
    <w:rsid w:val="002C68FC"/>
    <w:rsid w:val="002C7A9F"/>
    <w:rsid w:val="002D0962"/>
    <w:rsid w:val="002D547B"/>
    <w:rsid w:val="002D5901"/>
    <w:rsid w:val="002D6A28"/>
    <w:rsid w:val="002E17CF"/>
    <w:rsid w:val="002F0F83"/>
    <w:rsid w:val="002F1F01"/>
    <w:rsid w:val="002F386D"/>
    <w:rsid w:val="002F425F"/>
    <w:rsid w:val="002F4526"/>
    <w:rsid w:val="002F62EF"/>
    <w:rsid w:val="00305A4B"/>
    <w:rsid w:val="0031323E"/>
    <w:rsid w:val="00313A0E"/>
    <w:rsid w:val="003153B1"/>
    <w:rsid w:val="0031562B"/>
    <w:rsid w:val="00315954"/>
    <w:rsid w:val="003175C9"/>
    <w:rsid w:val="003200DD"/>
    <w:rsid w:val="00326670"/>
    <w:rsid w:val="00330B2E"/>
    <w:rsid w:val="00334EE5"/>
    <w:rsid w:val="00337128"/>
    <w:rsid w:val="00337FF3"/>
    <w:rsid w:val="003428E8"/>
    <w:rsid w:val="003500D4"/>
    <w:rsid w:val="00350B6B"/>
    <w:rsid w:val="00354673"/>
    <w:rsid w:val="00355DD9"/>
    <w:rsid w:val="00377E95"/>
    <w:rsid w:val="003815EE"/>
    <w:rsid w:val="00381704"/>
    <w:rsid w:val="003830D1"/>
    <w:rsid w:val="003832CF"/>
    <w:rsid w:val="00394DDA"/>
    <w:rsid w:val="003957FB"/>
    <w:rsid w:val="00395829"/>
    <w:rsid w:val="003977DB"/>
    <w:rsid w:val="00397A46"/>
    <w:rsid w:val="003A0785"/>
    <w:rsid w:val="003A3817"/>
    <w:rsid w:val="003A41BA"/>
    <w:rsid w:val="003A4B4E"/>
    <w:rsid w:val="003A4F22"/>
    <w:rsid w:val="003A525C"/>
    <w:rsid w:val="003B0C51"/>
    <w:rsid w:val="003B2786"/>
    <w:rsid w:val="003B3C6B"/>
    <w:rsid w:val="003B53F3"/>
    <w:rsid w:val="003B5F51"/>
    <w:rsid w:val="003C09A5"/>
    <w:rsid w:val="003C2F95"/>
    <w:rsid w:val="003C44D4"/>
    <w:rsid w:val="003C50E7"/>
    <w:rsid w:val="003D1876"/>
    <w:rsid w:val="003D28D6"/>
    <w:rsid w:val="003D64A1"/>
    <w:rsid w:val="003D6507"/>
    <w:rsid w:val="003E5FAE"/>
    <w:rsid w:val="003F154B"/>
    <w:rsid w:val="003F3042"/>
    <w:rsid w:val="003F4377"/>
    <w:rsid w:val="003F54B6"/>
    <w:rsid w:val="003F758E"/>
    <w:rsid w:val="004030EC"/>
    <w:rsid w:val="00407B85"/>
    <w:rsid w:val="00410876"/>
    <w:rsid w:val="00416B45"/>
    <w:rsid w:val="00422DFA"/>
    <w:rsid w:val="00423B9E"/>
    <w:rsid w:val="004244DB"/>
    <w:rsid w:val="004252E6"/>
    <w:rsid w:val="00427E7D"/>
    <w:rsid w:val="00427F6A"/>
    <w:rsid w:val="004339C1"/>
    <w:rsid w:val="00433CDD"/>
    <w:rsid w:val="00447AC2"/>
    <w:rsid w:val="00447F88"/>
    <w:rsid w:val="004522B2"/>
    <w:rsid w:val="00453F25"/>
    <w:rsid w:val="00454BCD"/>
    <w:rsid w:val="00454C32"/>
    <w:rsid w:val="004560B3"/>
    <w:rsid w:val="00456874"/>
    <w:rsid w:val="00457324"/>
    <w:rsid w:val="0046242B"/>
    <w:rsid w:val="00464DA3"/>
    <w:rsid w:val="00466A4E"/>
    <w:rsid w:val="00467C4B"/>
    <w:rsid w:val="00470F41"/>
    <w:rsid w:val="004711BA"/>
    <w:rsid w:val="00471987"/>
    <w:rsid w:val="0047239E"/>
    <w:rsid w:val="00472CE4"/>
    <w:rsid w:val="00477E45"/>
    <w:rsid w:val="00480FA8"/>
    <w:rsid w:val="00485988"/>
    <w:rsid w:val="00485B4D"/>
    <w:rsid w:val="0049141C"/>
    <w:rsid w:val="004939F0"/>
    <w:rsid w:val="004959AB"/>
    <w:rsid w:val="004A2D6D"/>
    <w:rsid w:val="004A3DF5"/>
    <w:rsid w:val="004A6D06"/>
    <w:rsid w:val="004B071E"/>
    <w:rsid w:val="004B18AC"/>
    <w:rsid w:val="004B1BDE"/>
    <w:rsid w:val="004C17DF"/>
    <w:rsid w:val="004C3ACC"/>
    <w:rsid w:val="004C3B58"/>
    <w:rsid w:val="004D1987"/>
    <w:rsid w:val="004D3559"/>
    <w:rsid w:val="004D36BC"/>
    <w:rsid w:val="004D5131"/>
    <w:rsid w:val="004D5B21"/>
    <w:rsid w:val="004E0DFA"/>
    <w:rsid w:val="004E2811"/>
    <w:rsid w:val="004E447E"/>
    <w:rsid w:val="004E4B74"/>
    <w:rsid w:val="004E6390"/>
    <w:rsid w:val="004E66A5"/>
    <w:rsid w:val="004F27C4"/>
    <w:rsid w:val="004F3252"/>
    <w:rsid w:val="004F4532"/>
    <w:rsid w:val="004F6D8C"/>
    <w:rsid w:val="00503351"/>
    <w:rsid w:val="00506634"/>
    <w:rsid w:val="00506B16"/>
    <w:rsid w:val="00513C95"/>
    <w:rsid w:val="005154CD"/>
    <w:rsid w:val="0051615F"/>
    <w:rsid w:val="00516737"/>
    <w:rsid w:val="005174CE"/>
    <w:rsid w:val="0052043C"/>
    <w:rsid w:val="005224BA"/>
    <w:rsid w:val="005233F7"/>
    <w:rsid w:val="00523999"/>
    <w:rsid w:val="005247F4"/>
    <w:rsid w:val="00525E58"/>
    <w:rsid w:val="0052673E"/>
    <w:rsid w:val="0052697C"/>
    <w:rsid w:val="00530C60"/>
    <w:rsid w:val="00531A48"/>
    <w:rsid w:val="0053269E"/>
    <w:rsid w:val="005334FF"/>
    <w:rsid w:val="005350CA"/>
    <w:rsid w:val="0053581E"/>
    <w:rsid w:val="00541006"/>
    <w:rsid w:val="00541029"/>
    <w:rsid w:val="00541202"/>
    <w:rsid w:val="005416FF"/>
    <w:rsid w:val="00541921"/>
    <w:rsid w:val="0054241A"/>
    <w:rsid w:val="00542C91"/>
    <w:rsid w:val="00545CD4"/>
    <w:rsid w:val="00550250"/>
    <w:rsid w:val="005551EB"/>
    <w:rsid w:val="00560B45"/>
    <w:rsid w:val="00560C75"/>
    <w:rsid w:val="00560D1F"/>
    <w:rsid w:val="00561A0D"/>
    <w:rsid w:val="00561A10"/>
    <w:rsid w:val="005678F1"/>
    <w:rsid w:val="0057048D"/>
    <w:rsid w:val="0057541F"/>
    <w:rsid w:val="00581174"/>
    <w:rsid w:val="00581C60"/>
    <w:rsid w:val="00582AAA"/>
    <w:rsid w:val="00584151"/>
    <w:rsid w:val="0059193C"/>
    <w:rsid w:val="00595C73"/>
    <w:rsid w:val="00596D5C"/>
    <w:rsid w:val="005974A0"/>
    <w:rsid w:val="005A6E45"/>
    <w:rsid w:val="005B1993"/>
    <w:rsid w:val="005B2E0C"/>
    <w:rsid w:val="005B46E8"/>
    <w:rsid w:val="005B5447"/>
    <w:rsid w:val="005B6D43"/>
    <w:rsid w:val="005B7C6A"/>
    <w:rsid w:val="005C132B"/>
    <w:rsid w:val="005C283B"/>
    <w:rsid w:val="005C7892"/>
    <w:rsid w:val="005C7CF1"/>
    <w:rsid w:val="005D0814"/>
    <w:rsid w:val="005D3BAC"/>
    <w:rsid w:val="005D4189"/>
    <w:rsid w:val="005D5065"/>
    <w:rsid w:val="005D6425"/>
    <w:rsid w:val="005D6FE5"/>
    <w:rsid w:val="005E13C0"/>
    <w:rsid w:val="005E26FF"/>
    <w:rsid w:val="005E39BB"/>
    <w:rsid w:val="005E461B"/>
    <w:rsid w:val="005E4E08"/>
    <w:rsid w:val="005E50E8"/>
    <w:rsid w:val="005E6D1E"/>
    <w:rsid w:val="005F2B8E"/>
    <w:rsid w:val="005F4B3C"/>
    <w:rsid w:val="005F5A10"/>
    <w:rsid w:val="005F7BDF"/>
    <w:rsid w:val="0060009D"/>
    <w:rsid w:val="00602727"/>
    <w:rsid w:val="00604F64"/>
    <w:rsid w:val="006054DB"/>
    <w:rsid w:val="00607611"/>
    <w:rsid w:val="006129DB"/>
    <w:rsid w:val="00613822"/>
    <w:rsid w:val="00616011"/>
    <w:rsid w:val="00617077"/>
    <w:rsid w:val="0061751D"/>
    <w:rsid w:val="00617D26"/>
    <w:rsid w:val="00620511"/>
    <w:rsid w:val="00621441"/>
    <w:rsid w:val="006223D4"/>
    <w:rsid w:val="00624464"/>
    <w:rsid w:val="00625223"/>
    <w:rsid w:val="00631151"/>
    <w:rsid w:val="0063489B"/>
    <w:rsid w:val="006354C2"/>
    <w:rsid w:val="006402FB"/>
    <w:rsid w:val="0064668E"/>
    <w:rsid w:val="00647264"/>
    <w:rsid w:val="00650BE9"/>
    <w:rsid w:val="00657F8F"/>
    <w:rsid w:val="0066131B"/>
    <w:rsid w:val="00661DB7"/>
    <w:rsid w:val="006637F9"/>
    <w:rsid w:val="006669F9"/>
    <w:rsid w:val="00670CD7"/>
    <w:rsid w:val="006733D9"/>
    <w:rsid w:val="00673B59"/>
    <w:rsid w:val="006803DA"/>
    <w:rsid w:val="00682BA5"/>
    <w:rsid w:val="00687A3E"/>
    <w:rsid w:val="00694857"/>
    <w:rsid w:val="00694E7F"/>
    <w:rsid w:val="00695660"/>
    <w:rsid w:val="006963E4"/>
    <w:rsid w:val="006A46B5"/>
    <w:rsid w:val="006A4DEA"/>
    <w:rsid w:val="006A6E40"/>
    <w:rsid w:val="006A713C"/>
    <w:rsid w:val="006A71BD"/>
    <w:rsid w:val="006A7F7A"/>
    <w:rsid w:val="006B2D07"/>
    <w:rsid w:val="006B31C8"/>
    <w:rsid w:val="006B47DD"/>
    <w:rsid w:val="006B6309"/>
    <w:rsid w:val="006C0383"/>
    <w:rsid w:val="006D0826"/>
    <w:rsid w:val="006D2E0C"/>
    <w:rsid w:val="006D309E"/>
    <w:rsid w:val="006D30CC"/>
    <w:rsid w:val="006E1B68"/>
    <w:rsid w:val="006F473A"/>
    <w:rsid w:val="006F6248"/>
    <w:rsid w:val="006F7256"/>
    <w:rsid w:val="006F7DCB"/>
    <w:rsid w:val="00702C13"/>
    <w:rsid w:val="007031CF"/>
    <w:rsid w:val="00704474"/>
    <w:rsid w:val="00705360"/>
    <w:rsid w:val="007103DE"/>
    <w:rsid w:val="00717789"/>
    <w:rsid w:val="00717CA1"/>
    <w:rsid w:val="0072011C"/>
    <w:rsid w:val="00721FB8"/>
    <w:rsid w:val="00722F7E"/>
    <w:rsid w:val="00723714"/>
    <w:rsid w:val="00724996"/>
    <w:rsid w:val="00730DF3"/>
    <w:rsid w:val="007344D7"/>
    <w:rsid w:val="00735799"/>
    <w:rsid w:val="007448B9"/>
    <w:rsid w:val="0074622D"/>
    <w:rsid w:val="00746CC5"/>
    <w:rsid w:val="0075088D"/>
    <w:rsid w:val="00751618"/>
    <w:rsid w:val="007518AC"/>
    <w:rsid w:val="00751D6E"/>
    <w:rsid w:val="00751D8D"/>
    <w:rsid w:val="00753EA8"/>
    <w:rsid w:val="00760DAE"/>
    <w:rsid w:val="0076287B"/>
    <w:rsid w:val="00763C54"/>
    <w:rsid w:val="00765606"/>
    <w:rsid w:val="00766D91"/>
    <w:rsid w:val="00770217"/>
    <w:rsid w:val="0077479B"/>
    <w:rsid w:val="00776783"/>
    <w:rsid w:val="00776B0E"/>
    <w:rsid w:val="00782522"/>
    <w:rsid w:val="00782954"/>
    <w:rsid w:val="00784CC1"/>
    <w:rsid w:val="0078546D"/>
    <w:rsid w:val="00785798"/>
    <w:rsid w:val="00790BFB"/>
    <w:rsid w:val="0079260F"/>
    <w:rsid w:val="00795B67"/>
    <w:rsid w:val="00796FEA"/>
    <w:rsid w:val="00797EBC"/>
    <w:rsid w:val="007A080C"/>
    <w:rsid w:val="007A191E"/>
    <w:rsid w:val="007A3FBF"/>
    <w:rsid w:val="007A4D40"/>
    <w:rsid w:val="007A7FF0"/>
    <w:rsid w:val="007B1A64"/>
    <w:rsid w:val="007B252C"/>
    <w:rsid w:val="007B4826"/>
    <w:rsid w:val="007C014C"/>
    <w:rsid w:val="007C746E"/>
    <w:rsid w:val="007D2673"/>
    <w:rsid w:val="007D5D35"/>
    <w:rsid w:val="007D5EBA"/>
    <w:rsid w:val="007E134E"/>
    <w:rsid w:val="007E3474"/>
    <w:rsid w:val="007E4036"/>
    <w:rsid w:val="007E47D3"/>
    <w:rsid w:val="007F7824"/>
    <w:rsid w:val="00805269"/>
    <w:rsid w:val="008065CF"/>
    <w:rsid w:val="00810042"/>
    <w:rsid w:val="00811B36"/>
    <w:rsid w:val="00813133"/>
    <w:rsid w:val="008139FD"/>
    <w:rsid w:val="00813F91"/>
    <w:rsid w:val="008174AD"/>
    <w:rsid w:val="0081781B"/>
    <w:rsid w:val="00820A7C"/>
    <w:rsid w:val="00822547"/>
    <w:rsid w:val="00830E8E"/>
    <w:rsid w:val="00830EC6"/>
    <w:rsid w:val="00832C3C"/>
    <w:rsid w:val="0083697C"/>
    <w:rsid w:val="00837DDC"/>
    <w:rsid w:val="00844A68"/>
    <w:rsid w:val="0084536F"/>
    <w:rsid w:val="008466B0"/>
    <w:rsid w:val="00847DFD"/>
    <w:rsid w:val="008532C5"/>
    <w:rsid w:val="00855780"/>
    <w:rsid w:val="00857484"/>
    <w:rsid w:val="00860D59"/>
    <w:rsid w:val="00865B1A"/>
    <w:rsid w:val="00867723"/>
    <w:rsid w:val="008713E2"/>
    <w:rsid w:val="0087379E"/>
    <w:rsid w:val="008738A2"/>
    <w:rsid w:val="00875199"/>
    <w:rsid w:val="0088237E"/>
    <w:rsid w:val="00885463"/>
    <w:rsid w:val="00885B12"/>
    <w:rsid w:val="00886801"/>
    <w:rsid w:val="00890F5E"/>
    <w:rsid w:val="008944BF"/>
    <w:rsid w:val="008969DC"/>
    <w:rsid w:val="008A150F"/>
    <w:rsid w:val="008A199E"/>
    <w:rsid w:val="008A76FF"/>
    <w:rsid w:val="008C5162"/>
    <w:rsid w:val="008D069F"/>
    <w:rsid w:val="008D2622"/>
    <w:rsid w:val="008D3E61"/>
    <w:rsid w:val="008D61A0"/>
    <w:rsid w:val="008D6E30"/>
    <w:rsid w:val="008E1F48"/>
    <w:rsid w:val="008E3EBF"/>
    <w:rsid w:val="008E5D11"/>
    <w:rsid w:val="008E6BC9"/>
    <w:rsid w:val="009032C7"/>
    <w:rsid w:val="009037CE"/>
    <w:rsid w:val="00910978"/>
    <w:rsid w:val="009119FE"/>
    <w:rsid w:val="00915769"/>
    <w:rsid w:val="0092057B"/>
    <w:rsid w:val="00924314"/>
    <w:rsid w:val="00924361"/>
    <w:rsid w:val="00926EB4"/>
    <w:rsid w:val="009276E6"/>
    <w:rsid w:val="00930B95"/>
    <w:rsid w:val="00932386"/>
    <w:rsid w:val="00937264"/>
    <w:rsid w:val="009373B2"/>
    <w:rsid w:val="009374B1"/>
    <w:rsid w:val="009426E1"/>
    <w:rsid w:val="00945269"/>
    <w:rsid w:val="00946E41"/>
    <w:rsid w:val="00952D61"/>
    <w:rsid w:val="0095755C"/>
    <w:rsid w:val="009612E4"/>
    <w:rsid w:val="009634A3"/>
    <w:rsid w:val="0097042F"/>
    <w:rsid w:val="00971BF7"/>
    <w:rsid w:val="0097618C"/>
    <w:rsid w:val="00980D71"/>
    <w:rsid w:val="00981761"/>
    <w:rsid w:val="00982E69"/>
    <w:rsid w:val="009838ED"/>
    <w:rsid w:val="00986DAE"/>
    <w:rsid w:val="00991BAF"/>
    <w:rsid w:val="009A1B3B"/>
    <w:rsid w:val="009A4809"/>
    <w:rsid w:val="009A522B"/>
    <w:rsid w:val="009A72C9"/>
    <w:rsid w:val="009B0612"/>
    <w:rsid w:val="009B0C58"/>
    <w:rsid w:val="009B27AD"/>
    <w:rsid w:val="009B462F"/>
    <w:rsid w:val="009C1A54"/>
    <w:rsid w:val="009C538C"/>
    <w:rsid w:val="009C5593"/>
    <w:rsid w:val="009C6276"/>
    <w:rsid w:val="009D0C70"/>
    <w:rsid w:val="009D458C"/>
    <w:rsid w:val="009D5583"/>
    <w:rsid w:val="009D60AD"/>
    <w:rsid w:val="009D65C9"/>
    <w:rsid w:val="009D6AA5"/>
    <w:rsid w:val="009E0841"/>
    <w:rsid w:val="009E19DE"/>
    <w:rsid w:val="009E227B"/>
    <w:rsid w:val="009E23A1"/>
    <w:rsid w:val="009E25C1"/>
    <w:rsid w:val="009E28ED"/>
    <w:rsid w:val="009E3FDD"/>
    <w:rsid w:val="009E4B45"/>
    <w:rsid w:val="009E4EF2"/>
    <w:rsid w:val="009E522B"/>
    <w:rsid w:val="009F190D"/>
    <w:rsid w:val="009F6910"/>
    <w:rsid w:val="00A0076E"/>
    <w:rsid w:val="00A020F3"/>
    <w:rsid w:val="00A02974"/>
    <w:rsid w:val="00A0371B"/>
    <w:rsid w:val="00A06D31"/>
    <w:rsid w:val="00A07A5C"/>
    <w:rsid w:val="00A07CBA"/>
    <w:rsid w:val="00A1092D"/>
    <w:rsid w:val="00A15852"/>
    <w:rsid w:val="00A164A0"/>
    <w:rsid w:val="00A16615"/>
    <w:rsid w:val="00A20751"/>
    <w:rsid w:val="00A20D42"/>
    <w:rsid w:val="00A22B7F"/>
    <w:rsid w:val="00A362EC"/>
    <w:rsid w:val="00A42282"/>
    <w:rsid w:val="00A430B4"/>
    <w:rsid w:val="00A44889"/>
    <w:rsid w:val="00A46190"/>
    <w:rsid w:val="00A46C4F"/>
    <w:rsid w:val="00A52911"/>
    <w:rsid w:val="00A539A0"/>
    <w:rsid w:val="00A65E76"/>
    <w:rsid w:val="00A672B5"/>
    <w:rsid w:val="00A70510"/>
    <w:rsid w:val="00A7318D"/>
    <w:rsid w:val="00A73B50"/>
    <w:rsid w:val="00A764A2"/>
    <w:rsid w:val="00A7701D"/>
    <w:rsid w:val="00A823F7"/>
    <w:rsid w:val="00A8286E"/>
    <w:rsid w:val="00A83D47"/>
    <w:rsid w:val="00A83F6C"/>
    <w:rsid w:val="00A84596"/>
    <w:rsid w:val="00A85BFF"/>
    <w:rsid w:val="00A90962"/>
    <w:rsid w:val="00A90D83"/>
    <w:rsid w:val="00A922CA"/>
    <w:rsid w:val="00A946FE"/>
    <w:rsid w:val="00A94882"/>
    <w:rsid w:val="00AA12AE"/>
    <w:rsid w:val="00AA28CF"/>
    <w:rsid w:val="00AA69B2"/>
    <w:rsid w:val="00AA79F0"/>
    <w:rsid w:val="00AB0ACA"/>
    <w:rsid w:val="00AB174C"/>
    <w:rsid w:val="00AB4D89"/>
    <w:rsid w:val="00AB5511"/>
    <w:rsid w:val="00AB6916"/>
    <w:rsid w:val="00AC252F"/>
    <w:rsid w:val="00AC2E9B"/>
    <w:rsid w:val="00AC7586"/>
    <w:rsid w:val="00AC7874"/>
    <w:rsid w:val="00AC7A4C"/>
    <w:rsid w:val="00AD0513"/>
    <w:rsid w:val="00AD4F4C"/>
    <w:rsid w:val="00AD79CF"/>
    <w:rsid w:val="00AE1FD0"/>
    <w:rsid w:val="00AE66ED"/>
    <w:rsid w:val="00AF2B07"/>
    <w:rsid w:val="00AF393E"/>
    <w:rsid w:val="00AF5974"/>
    <w:rsid w:val="00B01405"/>
    <w:rsid w:val="00B02595"/>
    <w:rsid w:val="00B03086"/>
    <w:rsid w:val="00B04EDA"/>
    <w:rsid w:val="00B103E4"/>
    <w:rsid w:val="00B11A92"/>
    <w:rsid w:val="00B1202B"/>
    <w:rsid w:val="00B128C7"/>
    <w:rsid w:val="00B129E7"/>
    <w:rsid w:val="00B15B9F"/>
    <w:rsid w:val="00B15D8D"/>
    <w:rsid w:val="00B17AA1"/>
    <w:rsid w:val="00B21945"/>
    <w:rsid w:val="00B21C01"/>
    <w:rsid w:val="00B21C1E"/>
    <w:rsid w:val="00B22DCD"/>
    <w:rsid w:val="00B23580"/>
    <w:rsid w:val="00B23FDD"/>
    <w:rsid w:val="00B248A6"/>
    <w:rsid w:val="00B25E1C"/>
    <w:rsid w:val="00B34E34"/>
    <w:rsid w:val="00B363D3"/>
    <w:rsid w:val="00B36DF9"/>
    <w:rsid w:val="00B37855"/>
    <w:rsid w:val="00B37896"/>
    <w:rsid w:val="00B419F8"/>
    <w:rsid w:val="00B41C3B"/>
    <w:rsid w:val="00B42E40"/>
    <w:rsid w:val="00B43320"/>
    <w:rsid w:val="00B43C2C"/>
    <w:rsid w:val="00B44635"/>
    <w:rsid w:val="00B447DA"/>
    <w:rsid w:val="00B454C8"/>
    <w:rsid w:val="00B45A2C"/>
    <w:rsid w:val="00B5021A"/>
    <w:rsid w:val="00B57BAB"/>
    <w:rsid w:val="00B610F0"/>
    <w:rsid w:val="00B65615"/>
    <w:rsid w:val="00B66FCC"/>
    <w:rsid w:val="00B751FF"/>
    <w:rsid w:val="00B75891"/>
    <w:rsid w:val="00B7654A"/>
    <w:rsid w:val="00B77561"/>
    <w:rsid w:val="00B77929"/>
    <w:rsid w:val="00B80B75"/>
    <w:rsid w:val="00B825DC"/>
    <w:rsid w:val="00B8320E"/>
    <w:rsid w:val="00B8592D"/>
    <w:rsid w:val="00B85BD7"/>
    <w:rsid w:val="00B86931"/>
    <w:rsid w:val="00B8799C"/>
    <w:rsid w:val="00B90DAC"/>
    <w:rsid w:val="00B96F1B"/>
    <w:rsid w:val="00BA0288"/>
    <w:rsid w:val="00BA242A"/>
    <w:rsid w:val="00BA3E9A"/>
    <w:rsid w:val="00BA41D5"/>
    <w:rsid w:val="00BA48FF"/>
    <w:rsid w:val="00BA6117"/>
    <w:rsid w:val="00BA6261"/>
    <w:rsid w:val="00BC065F"/>
    <w:rsid w:val="00BC0D5B"/>
    <w:rsid w:val="00BC1179"/>
    <w:rsid w:val="00BC217B"/>
    <w:rsid w:val="00BC67BE"/>
    <w:rsid w:val="00BC6F0E"/>
    <w:rsid w:val="00BD5560"/>
    <w:rsid w:val="00BD695B"/>
    <w:rsid w:val="00BE1145"/>
    <w:rsid w:val="00BE1422"/>
    <w:rsid w:val="00BE21A7"/>
    <w:rsid w:val="00BE2CF1"/>
    <w:rsid w:val="00BE5936"/>
    <w:rsid w:val="00BE74FA"/>
    <w:rsid w:val="00BF39FD"/>
    <w:rsid w:val="00BF4669"/>
    <w:rsid w:val="00C01180"/>
    <w:rsid w:val="00C01641"/>
    <w:rsid w:val="00C02316"/>
    <w:rsid w:val="00C030CE"/>
    <w:rsid w:val="00C11B1C"/>
    <w:rsid w:val="00C134CB"/>
    <w:rsid w:val="00C13BB5"/>
    <w:rsid w:val="00C13FE6"/>
    <w:rsid w:val="00C1412E"/>
    <w:rsid w:val="00C207D7"/>
    <w:rsid w:val="00C217BD"/>
    <w:rsid w:val="00C254D6"/>
    <w:rsid w:val="00C27591"/>
    <w:rsid w:val="00C30BE9"/>
    <w:rsid w:val="00C37C6A"/>
    <w:rsid w:val="00C37FF4"/>
    <w:rsid w:val="00C4296D"/>
    <w:rsid w:val="00C43B1D"/>
    <w:rsid w:val="00C44DF9"/>
    <w:rsid w:val="00C45495"/>
    <w:rsid w:val="00C45990"/>
    <w:rsid w:val="00C4645D"/>
    <w:rsid w:val="00C51EB4"/>
    <w:rsid w:val="00C5489F"/>
    <w:rsid w:val="00C54D7E"/>
    <w:rsid w:val="00C55853"/>
    <w:rsid w:val="00C57560"/>
    <w:rsid w:val="00C57A53"/>
    <w:rsid w:val="00C57BE6"/>
    <w:rsid w:val="00C60C59"/>
    <w:rsid w:val="00C61A0C"/>
    <w:rsid w:val="00C61EC9"/>
    <w:rsid w:val="00C653DF"/>
    <w:rsid w:val="00C72936"/>
    <w:rsid w:val="00C74A4F"/>
    <w:rsid w:val="00C82FD1"/>
    <w:rsid w:val="00C867C2"/>
    <w:rsid w:val="00C90DDA"/>
    <w:rsid w:val="00C96845"/>
    <w:rsid w:val="00C96B0A"/>
    <w:rsid w:val="00CA0DE8"/>
    <w:rsid w:val="00CA2479"/>
    <w:rsid w:val="00CA2C50"/>
    <w:rsid w:val="00CA30BA"/>
    <w:rsid w:val="00CA3B66"/>
    <w:rsid w:val="00CA432F"/>
    <w:rsid w:val="00CA5792"/>
    <w:rsid w:val="00CB3D3E"/>
    <w:rsid w:val="00CB459B"/>
    <w:rsid w:val="00CB5D63"/>
    <w:rsid w:val="00CC0ECF"/>
    <w:rsid w:val="00CC47C6"/>
    <w:rsid w:val="00CC556A"/>
    <w:rsid w:val="00CC63CD"/>
    <w:rsid w:val="00CC7700"/>
    <w:rsid w:val="00CD3D7F"/>
    <w:rsid w:val="00CD6227"/>
    <w:rsid w:val="00CD6288"/>
    <w:rsid w:val="00CE79F4"/>
    <w:rsid w:val="00CF0108"/>
    <w:rsid w:val="00CF01F0"/>
    <w:rsid w:val="00CF150A"/>
    <w:rsid w:val="00CF1889"/>
    <w:rsid w:val="00CF2F68"/>
    <w:rsid w:val="00CF78C1"/>
    <w:rsid w:val="00D100CF"/>
    <w:rsid w:val="00D11EB1"/>
    <w:rsid w:val="00D12262"/>
    <w:rsid w:val="00D12EC2"/>
    <w:rsid w:val="00D14400"/>
    <w:rsid w:val="00D14811"/>
    <w:rsid w:val="00D15FD2"/>
    <w:rsid w:val="00D16F01"/>
    <w:rsid w:val="00D17D06"/>
    <w:rsid w:val="00D21ABE"/>
    <w:rsid w:val="00D21FB2"/>
    <w:rsid w:val="00D24403"/>
    <w:rsid w:val="00D249BF"/>
    <w:rsid w:val="00D270C0"/>
    <w:rsid w:val="00D353D3"/>
    <w:rsid w:val="00D36F17"/>
    <w:rsid w:val="00D44164"/>
    <w:rsid w:val="00D4565F"/>
    <w:rsid w:val="00D51E1F"/>
    <w:rsid w:val="00D52836"/>
    <w:rsid w:val="00D52F61"/>
    <w:rsid w:val="00D54F95"/>
    <w:rsid w:val="00D575DF"/>
    <w:rsid w:val="00D62EEF"/>
    <w:rsid w:val="00D63F26"/>
    <w:rsid w:val="00D64266"/>
    <w:rsid w:val="00D65583"/>
    <w:rsid w:val="00D71AC5"/>
    <w:rsid w:val="00D72E37"/>
    <w:rsid w:val="00D73095"/>
    <w:rsid w:val="00D779A4"/>
    <w:rsid w:val="00D81A0C"/>
    <w:rsid w:val="00D82488"/>
    <w:rsid w:val="00D82717"/>
    <w:rsid w:val="00D83963"/>
    <w:rsid w:val="00D83E8B"/>
    <w:rsid w:val="00D84A4B"/>
    <w:rsid w:val="00D857BB"/>
    <w:rsid w:val="00D87834"/>
    <w:rsid w:val="00D9158B"/>
    <w:rsid w:val="00D94579"/>
    <w:rsid w:val="00D957E1"/>
    <w:rsid w:val="00D96258"/>
    <w:rsid w:val="00D97616"/>
    <w:rsid w:val="00D976F2"/>
    <w:rsid w:val="00DA4A01"/>
    <w:rsid w:val="00DB20D7"/>
    <w:rsid w:val="00DB2849"/>
    <w:rsid w:val="00DB2BB7"/>
    <w:rsid w:val="00DC7578"/>
    <w:rsid w:val="00DD27A0"/>
    <w:rsid w:val="00DD3C99"/>
    <w:rsid w:val="00DD7227"/>
    <w:rsid w:val="00DE1B04"/>
    <w:rsid w:val="00DE1C41"/>
    <w:rsid w:val="00DE36DA"/>
    <w:rsid w:val="00DE7CC6"/>
    <w:rsid w:val="00DE7D16"/>
    <w:rsid w:val="00DE7DF0"/>
    <w:rsid w:val="00DF44D7"/>
    <w:rsid w:val="00DF4A49"/>
    <w:rsid w:val="00E01C7E"/>
    <w:rsid w:val="00E01FEC"/>
    <w:rsid w:val="00E038E7"/>
    <w:rsid w:val="00E06E18"/>
    <w:rsid w:val="00E07999"/>
    <w:rsid w:val="00E11EA2"/>
    <w:rsid w:val="00E13815"/>
    <w:rsid w:val="00E14F00"/>
    <w:rsid w:val="00E1534E"/>
    <w:rsid w:val="00E23281"/>
    <w:rsid w:val="00E24400"/>
    <w:rsid w:val="00E257D7"/>
    <w:rsid w:val="00E270E6"/>
    <w:rsid w:val="00E27F8C"/>
    <w:rsid w:val="00E30F0E"/>
    <w:rsid w:val="00E3111F"/>
    <w:rsid w:val="00E32881"/>
    <w:rsid w:val="00E34124"/>
    <w:rsid w:val="00E359B9"/>
    <w:rsid w:val="00E35CC3"/>
    <w:rsid w:val="00E37752"/>
    <w:rsid w:val="00E40C86"/>
    <w:rsid w:val="00E47D68"/>
    <w:rsid w:val="00E50B91"/>
    <w:rsid w:val="00E51A69"/>
    <w:rsid w:val="00E51B2B"/>
    <w:rsid w:val="00E5248B"/>
    <w:rsid w:val="00E5480C"/>
    <w:rsid w:val="00E566F3"/>
    <w:rsid w:val="00E621D2"/>
    <w:rsid w:val="00E6353B"/>
    <w:rsid w:val="00E642F1"/>
    <w:rsid w:val="00E653A5"/>
    <w:rsid w:val="00E677A2"/>
    <w:rsid w:val="00E71766"/>
    <w:rsid w:val="00E727FF"/>
    <w:rsid w:val="00E73338"/>
    <w:rsid w:val="00E7430F"/>
    <w:rsid w:val="00E75099"/>
    <w:rsid w:val="00E815CF"/>
    <w:rsid w:val="00E81AD9"/>
    <w:rsid w:val="00E83D66"/>
    <w:rsid w:val="00E8471D"/>
    <w:rsid w:val="00E91859"/>
    <w:rsid w:val="00E92A34"/>
    <w:rsid w:val="00E93464"/>
    <w:rsid w:val="00EA072F"/>
    <w:rsid w:val="00EA2033"/>
    <w:rsid w:val="00EA2DC7"/>
    <w:rsid w:val="00EA3A3A"/>
    <w:rsid w:val="00EA4A9A"/>
    <w:rsid w:val="00EB08F5"/>
    <w:rsid w:val="00EB0D8F"/>
    <w:rsid w:val="00ED7624"/>
    <w:rsid w:val="00ED7A0D"/>
    <w:rsid w:val="00EF656E"/>
    <w:rsid w:val="00EF7321"/>
    <w:rsid w:val="00F012A0"/>
    <w:rsid w:val="00F02986"/>
    <w:rsid w:val="00F10D58"/>
    <w:rsid w:val="00F1319B"/>
    <w:rsid w:val="00F1436A"/>
    <w:rsid w:val="00F15488"/>
    <w:rsid w:val="00F17BAD"/>
    <w:rsid w:val="00F17C0A"/>
    <w:rsid w:val="00F203CE"/>
    <w:rsid w:val="00F208AA"/>
    <w:rsid w:val="00F22082"/>
    <w:rsid w:val="00F2226C"/>
    <w:rsid w:val="00F22E44"/>
    <w:rsid w:val="00F3141C"/>
    <w:rsid w:val="00F3645C"/>
    <w:rsid w:val="00F42D18"/>
    <w:rsid w:val="00F47FAF"/>
    <w:rsid w:val="00F50245"/>
    <w:rsid w:val="00F502E3"/>
    <w:rsid w:val="00F52EA9"/>
    <w:rsid w:val="00F53C22"/>
    <w:rsid w:val="00F559DE"/>
    <w:rsid w:val="00F571C6"/>
    <w:rsid w:val="00F57377"/>
    <w:rsid w:val="00F5737D"/>
    <w:rsid w:val="00F604AE"/>
    <w:rsid w:val="00F66EAB"/>
    <w:rsid w:val="00F66F68"/>
    <w:rsid w:val="00F7323D"/>
    <w:rsid w:val="00F7640D"/>
    <w:rsid w:val="00F80F40"/>
    <w:rsid w:val="00F82055"/>
    <w:rsid w:val="00F85A42"/>
    <w:rsid w:val="00F860EF"/>
    <w:rsid w:val="00F86F53"/>
    <w:rsid w:val="00F9525D"/>
    <w:rsid w:val="00FA0831"/>
    <w:rsid w:val="00FA1771"/>
    <w:rsid w:val="00FA3434"/>
    <w:rsid w:val="00FA3AE7"/>
    <w:rsid w:val="00FA5395"/>
    <w:rsid w:val="00FA5C4B"/>
    <w:rsid w:val="00FA7B7E"/>
    <w:rsid w:val="00FB387A"/>
    <w:rsid w:val="00FB498E"/>
    <w:rsid w:val="00FC0624"/>
    <w:rsid w:val="00FC123D"/>
    <w:rsid w:val="00FC3564"/>
    <w:rsid w:val="00FC4CD7"/>
    <w:rsid w:val="00FC5016"/>
    <w:rsid w:val="00FD1043"/>
    <w:rsid w:val="00FD148F"/>
    <w:rsid w:val="00FD497F"/>
    <w:rsid w:val="00FD4A2D"/>
    <w:rsid w:val="00FE0C52"/>
    <w:rsid w:val="00FE2B68"/>
    <w:rsid w:val="00FE2FCD"/>
    <w:rsid w:val="00FE559A"/>
    <w:rsid w:val="00FF00AC"/>
    <w:rsid w:val="00FF69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E065"/>
  <w15:chartTrackingRefBased/>
  <w15:docId w15:val="{EA8A13A1-3CE4-4F85-8DC6-B980309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3A1"/>
    <w:pPr>
      <w:spacing w:after="0" w:line="240" w:lineRule="auto"/>
    </w:pPr>
    <w:rPr>
      <w:rFonts w:ascii="Times New Roman" w:eastAsia="Times New Roman" w:hAnsi="Times New Roman" w:cs="Times New Roman"/>
      <w:sz w:val="24"/>
      <w:szCs w:val="20"/>
      <w:lang w:val="es-ES" w:eastAsia="es-ES"/>
    </w:rPr>
  </w:style>
  <w:style w:type="paragraph" w:styleId="Ttulo1">
    <w:name w:val="heading 1"/>
    <w:basedOn w:val="Normal"/>
    <w:next w:val="Normal"/>
    <w:link w:val="Ttulo1Car"/>
    <w:uiPriority w:val="9"/>
    <w:qFormat/>
    <w:rsid w:val="002149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5E39BB"/>
    <w:pPr>
      <w:keepNext/>
      <w:keepLines/>
      <w:spacing w:before="200" w:line="276" w:lineRule="auto"/>
      <w:outlineLvl w:val="1"/>
    </w:pPr>
    <w:rPr>
      <w:rFonts w:asciiTheme="majorHAnsi" w:eastAsiaTheme="majorEastAsia" w:hAnsiTheme="majorHAnsi" w:cstheme="majorBidi"/>
      <w:b/>
      <w:bCs/>
      <w:color w:val="4F81BD" w:themeColor="accent1"/>
      <w:sz w:val="26"/>
      <w:szCs w:val="26"/>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rraTitulo">
    <w:name w:val="Barra Titulo"/>
    <w:basedOn w:val="Normal"/>
    <w:link w:val="BarraTituloCar"/>
    <w:qFormat/>
    <w:rsid w:val="008532C5"/>
    <w:pPr>
      <w:pBdr>
        <w:top w:val="single" w:sz="4" w:space="1" w:color="auto"/>
        <w:left w:val="single" w:sz="4" w:space="4" w:color="auto"/>
        <w:bottom w:val="single" w:sz="4" w:space="1" w:color="auto"/>
        <w:right w:val="single" w:sz="4" w:space="4" w:color="auto"/>
      </w:pBdr>
    </w:pPr>
    <w:rPr>
      <w:b/>
      <w:noProof/>
    </w:rPr>
  </w:style>
  <w:style w:type="character" w:customStyle="1" w:styleId="BarraTituloCar">
    <w:name w:val="Barra Titulo Car"/>
    <w:basedOn w:val="Fuentedeprrafopredeter"/>
    <w:link w:val="BarraTitulo"/>
    <w:rsid w:val="008532C5"/>
    <w:rPr>
      <w:rFonts w:ascii="Times New Roman" w:eastAsia="Times New Roman" w:hAnsi="Times New Roman" w:cs="Times New Roman"/>
      <w:b/>
      <w:noProof/>
      <w:sz w:val="24"/>
      <w:szCs w:val="20"/>
      <w:lang w:val="es-ES" w:eastAsia="es-ES"/>
    </w:rPr>
  </w:style>
  <w:style w:type="paragraph" w:styleId="Textonotapie">
    <w:name w:val="footnote text"/>
    <w:basedOn w:val="Normal"/>
    <w:link w:val="TextonotapieCar"/>
    <w:uiPriority w:val="99"/>
    <w:unhideWhenUsed/>
    <w:rsid w:val="003D1876"/>
    <w:rPr>
      <w:sz w:val="20"/>
    </w:rPr>
  </w:style>
  <w:style w:type="character" w:customStyle="1" w:styleId="TextonotapieCar">
    <w:name w:val="Texto nota pie Car"/>
    <w:basedOn w:val="Fuentedeprrafopredeter"/>
    <w:link w:val="Textonotapie"/>
    <w:uiPriority w:val="99"/>
    <w:rsid w:val="003D187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3D1876"/>
    <w:rPr>
      <w:vertAlign w:val="superscript"/>
    </w:rPr>
  </w:style>
  <w:style w:type="character" w:styleId="Hipervnculo">
    <w:name w:val="Hyperlink"/>
    <w:basedOn w:val="Fuentedeprrafopredeter"/>
    <w:uiPriority w:val="99"/>
    <w:unhideWhenUsed/>
    <w:rsid w:val="001A5D24"/>
    <w:rPr>
      <w:color w:val="0000FF"/>
      <w:u w:val="single"/>
    </w:rPr>
  </w:style>
  <w:style w:type="paragraph" w:styleId="Prrafodelista">
    <w:name w:val="List Paragraph"/>
    <w:basedOn w:val="Normal"/>
    <w:uiPriority w:val="34"/>
    <w:qFormat/>
    <w:rsid w:val="006F7DCB"/>
    <w:pPr>
      <w:ind w:left="720"/>
      <w:contextualSpacing/>
    </w:pPr>
  </w:style>
  <w:style w:type="table" w:styleId="Tablaconcuadrcula">
    <w:name w:val="Table Grid"/>
    <w:basedOn w:val="Tablanormal"/>
    <w:uiPriority w:val="59"/>
    <w:rsid w:val="00C5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0511"/>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6F473A"/>
    <w:pPr>
      <w:tabs>
        <w:tab w:val="center" w:pos="4252"/>
        <w:tab w:val="right" w:pos="8504"/>
      </w:tabs>
    </w:pPr>
  </w:style>
  <w:style w:type="character" w:customStyle="1" w:styleId="EncabezadoCar">
    <w:name w:val="Encabezado Car"/>
    <w:basedOn w:val="Fuentedeprrafopredeter"/>
    <w:link w:val="Encabezado"/>
    <w:uiPriority w:val="99"/>
    <w:rsid w:val="006F473A"/>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6F473A"/>
    <w:pPr>
      <w:tabs>
        <w:tab w:val="center" w:pos="4252"/>
        <w:tab w:val="right" w:pos="8504"/>
      </w:tabs>
    </w:pPr>
  </w:style>
  <w:style w:type="character" w:customStyle="1" w:styleId="PiedepginaCar">
    <w:name w:val="Pie de página Car"/>
    <w:basedOn w:val="Fuentedeprrafopredeter"/>
    <w:link w:val="Piedepgina"/>
    <w:uiPriority w:val="99"/>
    <w:rsid w:val="006F473A"/>
    <w:rPr>
      <w:rFonts w:ascii="Times New Roman" w:eastAsia="Times New Roman" w:hAnsi="Times New Roman" w:cs="Times New Roman"/>
      <w:sz w:val="24"/>
      <w:szCs w:val="20"/>
      <w:lang w:val="es-ES" w:eastAsia="es-ES"/>
    </w:rPr>
  </w:style>
  <w:style w:type="character" w:customStyle="1" w:styleId="Mencinsinresolver1">
    <w:name w:val="Mención sin resolver1"/>
    <w:basedOn w:val="Fuentedeprrafopredeter"/>
    <w:uiPriority w:val="99"/>
    <w:semiHidden/>
    <w:unhideWhenUsed/>
    <w:rsid w:val="006963E4"/>
    <w:rPr>
      <w:color w:val="605E5C"/>
      <w:shd w:val="clear" w:color="auto" w:fill="E1DFDD"/>
    </w:rPr>
  </w:style>
  <w:style w:type="paragraph" w:customStyle="1" w:styleId="Pa18">
    <w:name w:val="Pa18"/>
    <w:basedOn w:val="Default"/>
    <w:next w:val="Default"/>
    <w:uiPriority w:val="99"/>
    <w:rsid w:val="000E2C34"/>
    <w:pPr>
      <w:spacing w:line="241" w:lineRule="atLeast"/>
    </w:pPr>
    <w:rPr>
      <w:rFonts w:ascii="Calibri" w:hAnsi="Calibri" w:cs="Calibri"/>
      <w:color w:val="auto"/>
    </w:rPr>
  </w:style>
  <w:style w:type="character" w:styleId="Textoennegrita">
    <w:name w:val="Strong"/>
    <w:basedOn w:val="Fuentedeprrafopredeter"/>
    <w:uiPriority w:val="22"/>
    <w:qFormat/>
    <w:rsid w:val="00111F83"/>
    <w:rPr>
      <w:b/>
      <w:bCs/>
    </w:rPr>
  </w:style>
  <w:style w:type="paragraph" w:styleId="HTMLconformatoprevio">
    <w:name w:val="HTML Preformatted"/>
    <w:basedOn w:val="Normal"/>
    <w:link w:val="HTMLconformatoprevioCar"/>
    <w:uiPriority w:val="99"/>
    <w:semiHidden/>
    <w:unhideWhenUsed/>
    <w:rsid w:val="00E63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AR" w:eastAsia="es-AR"/>
    </w:rPr>
  </w:style>
  <w:style w:type="character" w:customStyle="1" w:styleId="HTMLconformatoprevioCar">
    <w:name w:val="HTML con formato previo Car"/>
    <w:basedOn w:val="Fuentedeprrafopredeter"/>
    <w:link w:val="HTMLconformatoprevio"/>
    <w:uiPriority w:val="99"/>
    <w:semiHidden/>
    <w:rsid w:val="00E6353B"/>
    <w:rPr>
      <w:rFonts w:ascii="Courier New" w:eastAsia="Times New Roman" w:hAnsi="Courier New" w:cs="Courier New"/>
      <w:sz w:val="20"/>
      <w:szCs w:val="20"/>
      <w:lang w:eastAsia="es-AR"/>
    </w:rPr>
  </w:style>
  <w:style w:type="character" w:customStyle="1" w:styleId="Mencinsinresolver2">
    <w:name w:val="Mención sin resolver2"/>
    <w:basedOn w:val="Fuentedeprrafopredeter"/>
    <w:uiPriority w:val="99"/>
    <w:semiHidden/>
    <w:unhideWhenUsed/>
    <w:rsid w:val="00C4296D"/>
    <w:rPr>
      <w:color w:val="605E5C"/>
      <w:shd w:val="clear" w:color="auto" w:fill="E1DFDD"/>
    </w:rPr>
  </w:style>
  <w:style w:type="character" w:styleId="Refdecomentario">
    <w:name w:val="annotation reference"/>
    <w:basedOn w:val="Fuentedeprrafopredeter"/>
    <w:uiPriority w:val="99"/>
    <w:semiHidden/>
    <w:unhideWhenUsed/>
    <w:rsid w:val="00D82717"/>
    <w:rPr>
      <w:sz w:val="16"/>
      <w:szCs w:val="16"/>
    </w:rPr>
  </w:style>
  <w:style w:type="paragraph" w:styleId="Textocomentario">
    <w:name w:val="annotation text"/>
    <w:basedOn w:val="Normal"/>
    <w:link w:val="TextocomentarioCar"/>
    <w:uiPriority w:val="99"/>
    <w:semiHidden/>
    <w:unhideWhenUsed/>
    <w:rsid w:val="00D82717"/>
    <w:rPr>
      <w:sz w:val="20"/>
    </w:rPr>
  </w:style>
  <w:style w:type="character" w:customStyle="1" w:styleId="TextocomentarioCar">
    <w:name w:val="Texto comentario Car"/>
    <w:basedOn w:val="Fuentedeprrafopredeter"/>
    <w:link w:val="Textocomentario"/>
    <w:uiPriority w:val="99"/>
    <w:semiHidden/>
    <w:rsid w:val="00D8271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82717"/>
    <w:rPr>
      <w:b/>
      <w:bCs/>
    </w:rPr>
  </w:style>
  <w:style w:type="character" w:customStyle="1" w:styleId="AsuntodelcomentarioCar">
    <w:name w:val="Asunto del comentario Car"/>
    <w:basedOn w:val="TextocomentarioCar"/>
    <w:link w:val="Asuntodelcomentario"/>
    <w:uiPriority w:val="99"/>
    <w:semiHidden/>
    <w:rsid w:val="00D82717"/>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D827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717"/>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63489B"/>
    <w:pPr>
      <w:spacing w:before="100" w:beforeAutospacing="1" w:after="100" w:afterAutospacing="1"/>
    </w:pPr>
    <w:rPr>
      <w:szCs w:val="24"/>
      <w:lang w:val="es-AR" w:eastAsia="es-AR"/>
    </w:rPr>
  </w:style>
  <w:style w:type="character" w:customStyle="1" w:styleId="Ttulo2Car">
    <w:name w:val="Título 2 Car"/>
    <w:basedOn w:val="Fuentedeprrafopredeter"/>
    <w:link w:val="Ttulo2"/>
    <w:uiPriority w:val="9"/>
    <w:rsid w:val="005E39BB"/>
    <w:rPr>
      <w:rFonts w:asciiTheme="majorHAnsi" w:eastAsiaTheme="majorEastAsia" w:hAnsiTheme="majorHAnsi" w:cstheme="majorBidi"/>
      <w:b/>
      <w:bCs/>
      <w:color w:val="4F81BD" w:themeColor="accent1"/>
      <w:sz w:val="26"/>
      <w:szCs w:val="26"/>
    </w:rPr>
  </w:style>
  <w:style w:type="character" w:customStyle="1" w:styleId="Mencinsinresolver3">
    <w:name w:val="Mención sin resolver3"/>
    <w:basedOn w:val="Fuentedeprrafopredeter"/>
    <w:uiPriority w:val="99"/>
    <w:semiHidden/>
    <w:unhideWhenUsed/>
    <w:rsid w:val="00E14F00"/>
    <w:rPr>
      <w:color w:val="605E5C"/>
      <w:shd w:val="clear" w:color="auto" w:fill="E1DFDD"/>
    </w:rPr>
  </w:style>
  <w:style w:type="character" w:customStyle="1" w:styleId="text">
    <w:name w:val="text"/>
    <w:basedOn w:val="Fuentedeprrafopredeter"/>
    <w:rsid w:val="0021497F"/>
  </w:style>
  <w:style w:type="character" w:customStyle="1" w:styleId="Ttulo1Car">
    <w:name w:val="Título 1 Car"/>
    <w:basedOn w:val="Fuentedeprrafopredeter"/>
    <w:link w:val="Ttulo1"/>
    <w:uiPriority w:val="9"/>
    <w:rsid w:val="0021497F"/>
    <w:rPr>
      <w:rFonts w:asciiTheme="majorHAnsi" w:eastAsiaTheme="majorEastAsia" w:hAnsiTheme="majorHAnsi" w:cstheme="majorBidi"/>
      <w:color w:val="365F91" w:themeColor="accent1" w:themeShade="BF"/>
      <w:sz w:val="32"/>
      <w:szCs w:val="32"/>
      <w:lang w:val="es-ES" w:eastAsia="es-ES"/>
    </w:rPr>
  </w:style>
  <w:style w:type="character" w:customStyle="1" w:styleId="title-text">
    <w:name w:val="title-text"/>
    <w:basedOn w:val="Fuentedeprrafopredeter"/>
    <w:rsid w:val="0021497F"/>
  </w:style>
  <w:style w:type="character" w:customStyle="1" w:styleId="label">
    <w:name w:val="label"/>
    <w:basedOn w:val="Fuentedeprrafopredeter"/>
    <w:rsid w:val="002164E4"/>
  </w:style>
  <w:style w:type="character" w:customStyle="1" w:styleId="apple-converted-space">
    <w:name w:val="apple-converted-space"/>
    <w:basedOn w:val="Fuentedeprrafopredeter"/>
    <w:rsid w:val="00650BE9"/>
  </w:style>
  <w:style w:type="paragraph" w:styleId="Textoindependiente">
    <w:name w:val="Body Text"/>
    <w:basedOn w:val="Normal"/>
    <w:link w:val="TextoindependienteCar"/>
    <w:uiPriority w:val="99"/>
    <w:rsid w:val="00581174"/>
    <w:pPr>
      <w:spacing w:before="120" w:after="120" w:line="360" w:lineRule="auto"/>
      <w:jc w:val="both"/>
    </w:pPr>
    <w:rPr>
      <w:rFonts w:ascii="Arial" w:eastAsia="Calibri" w:hAnsi="Arial" w:cs="Arial"/>
      <w:bCs/>
      <w:sz w:val="22"/>
      <w:szCs w:val="22"/>
      <w:lang w:val="es-AR" w:eastAsia="en-US"/>
    </w:rPr>
  </w:style>
  <w:style w:type="character" w:customStyle="1" w:styleId="TextoindependienteCar">
    <w:name w:val="Texto independiente Car"/>
    <w:basedOn w:val="Fuentedeprrafopredeter"/>
    <w:link w:val="Textoindependiente"/>
    <w:uiPriority w:val="99"/>
    <w:rsid w:val="00581174"/>
    <w:rPr>
      <w:rFonts w:ascii="Arial" w:eastAsia="Calibri" w:hAnsi="Arial" w:cs="Arial"/>
      <w:bCs/>
    </w:rPr>
  </w:style>
  <w:style w:type="character" w:styleId="Hipervnculovisitado">
    <w:name w:val="FollowedHyperlink"/>
    <w:basedOn w:val="Fuentedeprrafopredeter"/>
    <w:uiPriority w:val="99"/>
    <w:semiHidden/>
    <w:unhideWhenUsed/>
    <w:rsid w:val="00C867C2"/>
    <w:rPr>
      <w:color w:val="800080" w:themeColor="followedHyperlink"/>
      <w:u w:val="single"/>
    </w:rPr>
  </w:style>
  <w:style w:type="paragraph" w:customStyle="1" w:styleId="bibliografia">
    <w:name w:val="bibliografia"/>
    <w:basedOn w:val="Normal"/>
    <w:rsid w:val="00C27591"/>
    <w:pPr>
      <w:spacing w:before="100" w:beforeAutospacing="1" w:after="100" w:afterAutospacing="1"/>
    </w:pPr>
    <w:rPr>
      <w:szCs w:val="24"/>
      <w:lang w:val="es-AR" w:eastAsia="es-AR"/>
    </w:rPr>
  </w:style>
  <w:style w:type="character" w:customStyle="1" w:styleId="italica">
    <w:name w:val="italica"/>
    <w:basedOn w:val="Fuentedeprrafopredeter"/>
    <w:rsid w:val="00C2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44741">
      <w:bodyDiv w:val="1"/>
      <w:marLeft w:val="0"/>
      <w:marRight w:val="0"/>
      <w:marTop w:val="0"/>
      <w:marBottom w:val="0"/>
      <w:divBdr>
        <w:top w:val="none" w:sz="0" w:space="0" w:color="auto"/>
        <w:left w:val="none" w:sz="0" w:space="0" w:color="auto"/>
        <w:bottom w:val="none" w:sz="0" w:space="0" w:color="auto"/>
        <w:right w:val="none" w:sz="0" w:space="0" w:color="auto"/>
      </w:divBdr>
    </w:div>
    <w:div w:id="448400486">
      <w:bodyDiv w:val="1"/>
      <w:marLeft w:val="0"/>
      <w:marRight w:val="0"/>
      <w:marTop w:val="0"/>
      <w:marBottom w:val="0"/>
      <w:divBdr>
        <w:top w:val="none" w:sz="0" w:space="0" w:color="auto"/>
        <w:left w:val="none" w:sz="0" w:space="0" w:color="auto"/>
        <w:bottom w:val="none" w:sz="0" w:space="0" w:color="auto"/>
        <w:right w:val="none" w:sz="0" w:space="0" w:color="auto"/>
      </w:divBdr>
    </w:div>
    <w:div w:id="682124028">
      <w:bodyDiv w:val="1"/>
      <w:marLeft w:val="0"/>
      <w:marRight w:val="0"/>
      <w:marTop w:val="0"/>
      <w:marBottom w:val="0"/>
      <w:divBdr>
        <w:top w:val="none" w:sz="0" w:space="0" w:color="auto"/>
        <w:left w:val="none" w:sz="0" w:space="0" w:color="auto"/>
        <w:bottom w:val="none" w:sz="0" w:space="0" w:color="auto"/>
        <w:right w:val="none" w:sz="0" w:space="0" w:color="auto"/>
      </w:divBdr>
    </w:div>
    <w:div w:id="1030843272">
      <w:bodyDiv w:val="1"/>
      <w:marLeft w:val="0"/>
      <w:marRight w:val="0"/>
      <w:marTop w:val="0"/>
      <w:marBottom w:val="0"/>
      <w:divBdr>
        <w:top w:val="none" w:sz="0" w:space="0" w:color="auto"/>
        <w:left w:val="none" w:sz="0" w:space="0" w:color="auto"/>
        <w:bottom w:val="none" w:sz="0" w:space="0" w:color="auto"/>
        <w:right w:val="none" w:sz="0" w:space="0" w:color="auto"/>
      </w:divBdr>
      <w:divsChild>
        <w:div w:id="1515606030">
          <w:marLeft w:val="0"/>
          <w:marRight w:val="0"/>
          <w:marTop w:val="240"/>
          <w:marBottom w:val="240"/>
          <w:divBdr>
            <w:top w:val="single" w:sz="12" w:space="0" w:color="EBEBEB"/>
            <w:left w:val="none" w:sz="0" w:space="0" w:color="auto"/>
            <w:bottom w:val="single" w:sz="12" w:space="0" w:color="EBEBEB"/>
            <w:right w:val="none" w:sz="0" w:space="0" w:color="auto"/>
          </w:divBdr>
          <w:divsChild>
            <w:div w:id="12252127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51997917">
      <w:bodyDiv w:val="1"/>
      <w:marLeft w:val="0"/>
      <w:marRight w:val="0"/>
      <w:marTop w:val="0"/>
      <w:marBottom w:val="0"/>
      <w:divBdr>
        <w:top w:val="none" w:sz="0" w:space="0" w:color="auto"/>
        <w:left w:val="none" w:sz="0" w:space="0" w:color="auto"/>
        <w:bottom w:val="none" w:sz="0" w:space="0" w:color="auto"/>
        <w:right w:val="none" w:sz="0" w:space="0" w:color="auto"/>
      </w:divBdr>
    </w:div>
    <w:div w:id="1153988119">
      <w:bodyDiv w:val="1"/>
      <w:marLeft w:val="0"/>
      <w:marRight w:val="0"/>
      <w:marTop w:val="0"/>
      <w:marBottom w:val="0"/>
      <w:divBdr>
        <w:top w:val="none" w:sz="0" w:space="0" w:color="auto"/>
        <w:left w:val="none" w:sz="0" w:space="0" w:color="auto"/>
        <w:bottom w:val="none" w:sz="0" w:space="0" w:color="auto"/>
        <w:right w:val="none" w:sz="0" w:space="0" w:color="auto"/>
      </w:divBdr>
    </w:div>
    <w:div w:id="1277063663">
      <w:bodyDiv w:val="1"/>
      <w:marLeft w:val="0"/>
      <w:marRight w:val="0"/>
      <w:marTop w:val="0"/>
      <w:marBottom w:val="0"/>
      <w:divBdr>
        <w:top w:val="none" w:sz="0" w:space="0" w:color="auto"/>
        <w:left w:val="none" w:sz="0" w:space="0" w:color="auto"/>
        <w:bottom w:val="none" w:sz="0" w:space="0" w:color="auto"/>
        <w:right w:val="none" w:sz="0" w:space="0" w:color="auto"/>
      </w:divBdr>
    </w:div>
    <w:div w:id="1371765070">
      <w:bodyDiv w:val="1"/>
      <w:marLeft w:val="0"/>
      <w:marRight w:val="0"/>
      <w:marTop w:val="0"/>
      <w:marBottom w:val="0"/>
      <w:divBdr>
        <w:top w:val="none" w:sz="0" w:space="0" w:color="auto"/>
        <w:left w:val="none" w:sz="0" w:space="0" w:color="auto"/>
        <w:bottom w:val="none" w:sz="0" w:space="0" w:color="auto"/>
        <w:right w:val="none" w:sz="0" w:space="0" w:color="auto"/>
      </w:divBdr>
    </w:div>
    <w:div w:id="1431002094">
      <w:bodyDiv w:val="1"/>
      <w:marLeft w:val="0"/>
      <w:marRight w:val="0"/>
      <w:marTop w:val="0"/>
      <w:marBottom w:val="0"/>
      <w:divBdr>
        <w:top w:val="none" w:sz="0" w:space="0" w:color="auto"/>
        <w:left w:val="none" w:sz="0" w:space="0" w:color="auto"/>
        <w:bottom w:val="none" w:sz="0" w:space="0" w:color="auto"/>
        <w:right w:val="none" w:sz="0" w:space="0" w:color="auto"/>
      </w:divBdr>
    </w:div>
    <w:div w:id="1629890828">
      <w:bodyDiv w:val="1"/>
      <w:marLeft w:val="0"/>
      <w:marRight w:val="0"/>
      <w:marTop w:val="0"/>
      <w:marBottom w:val="0"/>
      <w:divBdr>
        <w:top w:val="none" w:sz="0" w:space="0" w:color="auto"/>
        <w:left w:val="none" w:sz="0" w:space="0" w:color="auto"/>
        <w:bottom w:val="none" w:sz="0" w:space="0" w:color="auto"/>
        <w:right w:val="none" w:sz="0" w:space="0" w:color="auto"/>
      </w:divBdr>
    </w:div>
    <w:div w:id="19951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338EB-CE61-4DE3-88B6-C4B63E4B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5953</Words>
  <Characters>32747</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Ficco</dc:creator>
  <cp:keywords/>
  <dc:description/>
  <cp:lastModifiedBy>Rafa Ballatore</cp:lastModifiedBy>
  <cp:revision>3</cp:revision>
  <cp:lastPrinted>2020-09-28T14:43:00Z</cp:lastPrinted>
  <dcterms:created xsi:type="dcterms:W3CDTF">2021-09-09T18:35:00Z</dcterms:created>
  <dcterms:modified xsi:type="dcterms:W3CDTF">2021-09-09T18:41:00Z</dcterms:modified>
</cp:coreProperties>
</file>