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490D" w14:textId="54FAA205" w:rsidR="00F87BE5" w:rsidRDefault="005F569E" w:rsidP="00F87BE5">
      <w:pPr>
        <w:spacing w:line="360" w:lineRule="auto"/>
        <w:jc w:val="both"/>
        <w:rPr>
          <w:rFonts w:ascii="Times New Roman" w:hAnsi="Times New Roman" w:cs="Times New Roman"/>
          <w:b/>
          <w:sz w:val="24"/>
          <w:szCs w:val="24"/>
        </w:rPr>
      </w:pPr>
      <w:r w:rsidRPr="001E4829">
        <w:rPr>
          <w:rFonts w:ascii="Times New Roman" w:hAnsi="Times New Roman" w:cs="Times New Roman"/>
          <w:b/>
          <w:sz w:val="24"/>
          <w:szCs w:val="24"/>
        </w:rPr>
        <w:t>GESTIÓN SOSTENIBLE DE AGUAS. REVELACIONES QUE PERMITEN DEMOSTRAR ESTRATEGIAS EMPRESARIALES</w:t>
      </w:r>
    </w:p>
    <w:p w14:paraId="4DD54839" w14:textId="1564E866" w:rsidR="00330AF2" w:rsidRPr="00330AF2" w:rsidRDefault="00330AF2" w:rsidP="00330AF2">
      <w:pPr>
        <w:pStyle w:val="HTMLconformatoprevio"/>
        <w:shd w:val="clear" w:color="auto" w:fill="FFFFFF" w:themeFill="background1"/>
        <w:spacing w:line="360" w:lineRule="auto"/>
        <w:jc w:val="both"/>
        <w:rPr>
          <w:rFonts w:ascii="Times New Roman" w:hAnsi="Times New Roman" w:cs="Times New Roman"/>
          <w:b/>
          <w:color w:val="202124"/>
          <w:sz w:val="24"/>
          <w:szCs w:val="24"/>
        </w:rPr>
      </w:pPr>
      <w:r w:rsidRPr="00330AF2">
        <w:rPr>
          <w:rStyle w:val="y2iqfc"/>
          <w:rFonts w:ascii="Times New Roman" w:hAnsi="Times New Roman" w:cs="Times New Roman"/>
          <w:b/>
          <w:color w:val="202124"/>
          <w:sz w:val="24"/>
          <w:szCs w:val="24"/>
          <w:lang w:val="en"/>
        </w:rPr>
        <w:t>SUSTAINABLE WATER MANAGEMENT. DISCLOSURES THAT ALLOW BUSINESS STRATEGIES TO BE DEMONSTRATED</w:t>
      </w:r>
      <w:r w:rsidR="002736F5">
        <w:rPr>
          <w:rStyle w:val="y2iqfc"/>
          <w:rFonts w:ascii="Times New Roman" w:hAnsi="Times New Roman" w:cs="Times New Roman"/>
          <w:b/>
          <w:color w:val="202124"/>
          <w:sz w:val="24"/>
          <w:szCs w:val="24"/>
          <w:lang w:val="en"/>
        </w:rPr>
        <w:t>.</w:t>
      </w:r>
    </w:p>
    <w:p w14:paraId="2E266E1D" w14:textId="77777777" w:rsidR="00330AF2" w:rsidRPr="00330AF2" w:rsidRDefault="00330AF2" w:rsidP="00F87BE5">
      <w:pPr>
        <w:spacing w:line="360" w:lineRule="auto"/>
        <w:jc w:val="both"/>
        <w:rPr>
          <w:rFonts w:ascii="Times New Roman" w:hAnsi="Times New Roman" w:cs="Times New Roman"/>
          <w:b/>
          <w:sz w:val="24"/>
          <w:szCs w:val="24"/>
          <w:lang w:val="en-US"/>
        </w:rPr>
      </w:pPr>
    </w:p>
    <w:p w14:paraId="74056B09" w14:textId="0DFEEA5C" w:rsidR="00D76C40" w:rsidRPr="001E4829" w:rsidRDefault="00B40198" w:rsidP="00F87BE5">
      <w:pPr>
        <w:spacing w:line="360" w:lineRule="auto"/>
        <w:jc w:val="both"/>
        <w:rPr>
          <w:rFonts w:ascii="Times New Roman" w:hAnsi="Times New Roman" w:cs="Times New Roman"/>
          <w:sz w:val="24"/>
          <w:szCs w:val="24"/>
        </w:rPr>
      </w:pPr>
      <w:r w:rsidRPr="001E4829">
        <w:rPr>
          <w:rFonts w:ascii="Times New Roman" w:hAnsi="Times New Roman" w:cs="Times New Roman"/>
          <w:b/>
          <w:sz w:val="24"/>
          <w:szCs w:val="24"/>
        </w:rPr>
        <w:t>Eje temático</w:t>
      </w:r>
      <w:r w:rsidR="00D76C40" w:rsidRPr="001E4829">
        <w:rPr>
          <w:rFonts w:ascii="Times New Roman" w:hAnsi="Times New Roman" w:cs="Times New Roman"/>
          <w:sz w:val="24"/>
          <w:szCs w:val="24"/>
        </w:rPr>
        <w:t xml:space="preserve">: </w:t>
      </w:r>
      <w:r w:rsidRPr="001E4829">
        <w:rPr>
          <w:rFonts w:ascii="Times New Roman" w:hAnsi="Times New Roman" w:cs="Times New Roman"/>
          <w:sz w:val="24"/>
          <w:szCs w:val="24"/>
        </w:rPr>
        <w:t xml:space="preserve">14. Gestión ambiental. Operaciones y Gestión de Calidad. Su aporte a la competitividad organizacional. </w:t>
      </w:r>
    </w:p>
    <w:p w14:paraId="0EE82704" w14:textId="77777777" w:rsidR="00D76C40" w:rsidRPr="001E4829" w:rsidRDefault="00D76C40" w:rsidP="00F87BE5">
      <w:pPr>
        <w:spacing w:line="360" w:lineRule="auto"/>
        <w:jc w:val="both"/>
        <w:rPr>
          <w:rFonts w:ascii="Times New Roman" w:hAnsi="Times New Roman" w:cs="Times New Roman"/>
          <w:b/>
          <w:sz w:val="24"/>
          <w:szCs w:val="24"/>
        </w:rPr>
      </w:pPr>
      <w:r w:rsidRPr="001E4829">
        <w:rPr>
          <w:rFonts w:ascii="Times New Roman" w:hAnsi="Times New Roman" w:cs="Times New Roman"/>
          <w:b/>
          <w:sz w:val="24"/>
          <w:szCs w:val="24"/>
        </w:rPr>
        <w:t>Autoras:</w:t>
      </w:r>
    </w:p>
    <w:p w14:paraId="7B2D89E9" w14:textId="0F180756" w:rsidR="00D76C40" w:rsidRPr="001E4829" w:rsidRDefault="00D76C40" w:rsidP="00F87BE5">
      <w:pPr>
        <w:spacing w:line="360" w:lineRule="auto"/>
        <w:jc w:val="both"/>
        <w:rPr>
          <w:rFonts w:ascii="Times New Roman" w:hAnsi="Times New Roman" w:cs="Times New Roman"/>
          <w:sz w:val="24"/>
          <w:szCs w:val="24"/>
        </w:rPr>
      </w:pPr>
      <w:r w:rsidRPr="001E4829">
        <w:rPr>
          <w:rFonts w:ascii="Times New Roman" w:hAnsi="Times New Roman" w:cs="Times New Roman"/>
          <w:sz w:val="24"/>
          <w:szCs w:val="24"/>
        </w:rPr>
        <w:t>Scavone, Graciela. Rivadavia 509</w:t>
      </w:r>
      <w:r w:rsidR="00F735F6" w:rsidRPr="001E4829">
        <w:rPr>
          <w:rFonts w:ascii="Times New Roman" w:hAnsi="Times New Roman" w:cs="Times New Roman"/>
          <w:sz w:val="24"/>
          <w:szCs w:val="24"/>
        </w:rPr>
        <w:t>7</w:t>
      </w:r>
      <w:r w:rsidRPr="001E4829">
        <w:rPr>
          <w:rFonts w:ascii="Times New Roman" w:hAnsi="Times New Roman" w:cs="Times New Roman"/>
          <w:sz w:val="24"/>
          <w:szCs w:val="24"/>
        </w:rPr>
        <w:t>, CABA. Universidad de Buenos Aires. Córdoba 2122</w:t>
      </w:r>
      <w:r w:rsidR="00DB4DD6" w:rsidRPr="001E4829">
        <w:rPr>
          <w:rFonts w:ascii="Times New Roman" w:hAnsi="Times New Roman" w:cs="Times New Roman"/>
          <w:sz w:val="24"/>
          <w:szCs w:val="24"/>
        </w:rPr>
        <w:t xml:space="preserve">, CABA. </w:t>
      </w:r>
      <w:hyperlink r:id="rId5" w:history="1">
        <w:r w:rsidR="00DB4DD6" w:rsidRPr="001E4829">
          <w:rPr>
            <w:rStyle w:val="Hipervnculo"/>
            <w:rFonts w:ascii="Times New Roman" w:hAnsi="Times New Roman" w:cs="Times New Roman"/>
            <w:color w:val="auto"/>
            <w:sz w:val="24"/>
            <w:szCs w:val="24"/>
            <w:u w:val="none"/>
          </w:rPr>
          <w:t>gscavone@gmail.com</w:t>
        </w:r>
      </w:hyperlink>
    </w:p>
    <w:p w14:paraId="1D109819" w14:textId="77777777" w:rsidR="00DB4DD6" w:rsidRPr="001E4829" w:rsidRDefault="00DB4DD6" w:rsidP="00F87BE5">
      <w:pPr>
        <w:spacing w:line="360" w:lineRule="auto"/>
        <w:jc w:val="both"/>
        <w:rPr>
          <w:rFonts w:ascii="Times New Roman" w:hAnsi="Times New Roman" w:cs="Times New Roman"/>
          <w:sz w:val="24"/>
          <w:szCs w:val="24"/>
        </w:rPr>
      </w:pPr>
      <w:r w:rsidRPr="001E4829">
        <w:rPr>
          <w:rFonts w:ascii="Times New Roman" w:hAnsi="Times New Roman" w:cs="Times New Roman"/>
          <w:sz w:val="24"/>
          <w:szCs w:val="24"/>
        </w:rPr>
        <w:t>Marchesano, Marisa. Vidal 2381, CABA. Universidad del Salvador.</w:t>
      </w:r>
      <w:r w:rsidR="00122DEB" w:rsidRPr="001E4829">
        <w:rPr>
          <w:rFonts w:ascii="Times New Roman" w:hAnsi="Times New Roman" w:cs="Times New Roman"/>
          <w:sz w:val="24"/>
          <w:szCs w:val="24"/>
        </w:rPr>
        <w:t xml:space="preserve"> </w:t>
      </w:r>
      <w:r w:rsidRPr="001E4829">
        <w:rPr>
          <w:rFonts w:ascii="Times New Roman" w:hAnsi="Times New Roman" w:cs="Times New Roman"/>
          <w:sz w:val="24"/>
          <w:szCs w:val="24"/>
        </w:rPr>
        <w:t>Vi</w:t>
      </w:r>
      <w:r w:rsidR="00122DEB" w:rsidRPr="001E4829">
        <w:rPr>
          <w:rFonts w:ascii="Times New Roman" w:hAnsi="Times New Roman" w:cs="Times New Roman"/>
          <w:sz w:val="24"/>
          <w:szCs w:val="24"/>
        </w:rPr>
        <w:t>amonte</w:t>
      </w:r>
      <w:r w:rsidRPr="001E4829">
        <w:rPr>
          <w:rFonts w:ascii="Times New Roman" w:hAnsi="Times New Roman" w:cs="Times New Roman"/>
          <w:sz w:val="24"/>
          <w:szCs w:val="24"/>
        </w:rPr>
        <w:t xml:space="preserve"> 1816. </w:t>
      </w:r>
      <w:hyperlink r:id="rId6" w:history="1">
        <w:r w:rsidR="00122DEB" w:rsidRPr="001E4829">
          <w:rPr>
            <w:rStyle w:val="Hipervnculo"/>
            <w:rFonts w:ascii="Times New Roman" w:hAnsi="Times New Roman" w:cs="Times New Roman"/>
            <w:color w:val="auto"/>
            <w:sz w:val="24"/>
            <w:szCs w:val="24"/>
            <w:u w:val="none"/>
          </w:rPr>
          <w:t>CABA.</w:t>
        </w:r>
        <w:r w:rsidR="00122DEB" w:rsidRPr="001E4829">
          <w:rPr>
            <w:rStyle w:val="Hipervnculo"/>
            <w:rFonts w:ascii="Times New Roman" w:hAnsi="Times New Roman" w:cs="Times New Roman"/>
            <w:sz w:val="24"/>
            <w:szCs w:val="24"/>
          </w:rPr>
          <w:t xml:space="preserve"> </w:t>
        </w:r>
        <w:r w:rsidR="00122DEB" w:rsidRPr="001E4829">
          <w:rPr>
            <w:rStyle w:val="Hipervnculo"/>
            <w:rFonts w:ascii="Times New Roman" w:hAnsi="Times New Roman" w:cs="Times New Roman"/>
            <w:color w:val="auto"/>
            <w:sz w:val="24"/>
            <w:szCs w:val="24"/>
            <w:u w:val="none"/>
          </w:rPr>
          <w:t>marisamarchesano@gmail.com</w:t>
        </w:r>
      </w:hyperlink>
    </w:p>
    <w:p w14:paraId="13BD4737" w14:textId="22FD409C" w:rsidR="002736F5" w:rsidRPr="009D4669" w:rsidRDefault="005E4430" w:rsidP="002736F5">
      <w:pPr>
        <w:pStyle w:val="Default"/>
        <w:spacing w:after="120" w:line="360" w:lineRule="auto"/>
        <w:jc w:val="both"/>
        <w:rPr>
          <w:rFonts w:ascii="Times New Roman" w:hAnsi="Times New Roman" w:cs="Times New Roman"/>
          <w:color w:val="auto"/>
          <w:lang w:val="en-US"/>
        </w:rPr>
      </w:pPr>
      <w:r w:rsidRPr="001E4829">
        <w:rPr>
          <w:rFonts w:ascii="Times New Roman" w:hAnsi="Times New Roman" w:cs="Times New Roman"/>
          <w:b/>
        </w:rPr>
        <w:t xml:space="preserve">Palabras clave: </w:t>
      </w:r>
      <w:r w:rsidR="00B40198" w:rsidRPr="001E4829">
        <w:rPr>
          <w:rFonts w:ascii="Times New Roman" w:hAnsi="Times New Roman" w:cs="Times New Roman"/>
          <w:color w:val="auto"/>
        </w:rPr>
        <w:t xml:space="preserve">gestión de aguas. </w:t>
      </w:r>
      <w:r w:rsidR="00B40198" w:rsidRPr="009D4669">
        <w:rPr>
          <w:rFonts w:ascii="Times New Roman" w:hAnsi="Times New Roman" w:cs="Times New Roman"/>
          <w:color w:val="auto"/>
          <w:lang w:val="en-US"/>
        </w:rPr>
        <w:t>ODS 6,</w:t>
      </w:r>
      <w:r w:rsidR="0047154C">
        <w:rPr>
          <w:rFonts w:ascii="Times New Roman" w:hAnsi="Times New Roman" w:cs="Times New Roman"/>
          <w:color w:val="auto"/>
          <w:lang w:val="en-US"/>
        </w:rPr>
        <w:t xml:space="preserve"> </w:t>
      </w:r>
      <w:r w:rsidR="0067283C">
        <w:rPr>
          <w:rFonts w:ascii="Times New Roman" w:hAnsi="Times New Roman" w:cs="Times New Roman"/>
          <w:color w:val="auto"/>
          <w:lang w:val="en-US"/>
        </w:rPr>
        <w:t xml:space="preserve">estrategias empresariales. </w:t>
      </w:r>
      <w:r w:rsidR="002736F5" w:rsidRPr="009D4669">
        <w:rPr>
          <w:rFonts w:ascii="Times New Roman" w:hAnsi="Times New Roman" w:cs="Times New Roman"/>
          <w:color w:val="auto"/>
          <w:lang w:val="en-US"/>
        </w:rPr>
        <w:t xml:space="preserve"> </w:t>
      </w:r>
    </w:p>
    <w:p w14:paraId="117BE16D" w14:textId="08B14553" w:rsidR="002736F5" w:rsidRPr="002736F5" w:rsidRDefault="002736F5" w:rsidP="002736F5">
      <w:pPr>
        <w:pStyle w:val="Default"/>
        <w:spacing w:after="120" w:line="360" w:lineRule="auto"/>
        <w:jc w:val="both"/>
        <w:rPr>
          <w:rFonts w:ascii="Times New Roman" w:hAnsi="Times New Roman" w:cs="Times New Roman"/>
          <w:color w:val="auto"/>
        </w:rPr>
      </w:pPr>
      <w:r w:rsidRPr="009D4669">
        <w:rPr>
          <w:rFonts w:ascii="Times New Roman" w:hAnsi="Times New Roman" w:cs="Times New Roman"/>
          <w:b/>
          <w:color w:val="auto"/>
          <w:lang w:val="en-US"/>
        </w:rPr>
        <w:t xml:space="preserve">Keywords: </w:t>
      </w:r>
      <w:r w:rsidRPr="002736F5">
        <w:rPr>
          <w:rStyle w:val="y2iqfc"/>
          <w:rFonts w:ascii="Times New Roman" w:hAnsi="Times New Roman" w:cs="Times New Roman"/>
          <w:color w:val="202124"/>
          <w:lang w:val="en"/>
        </w:rPr>
        <w:t xml:space="preserve">water management. </w:t>
      </w:r>
      <w:r w:rsidRPr="00052B2D">
        <w:rPr>
          <w:rStyle w:val="y2iqfc"/>
          <w:rFonts w:ascii="Times New Roman" w:hAnsi="Times New Roman" w:cs="Times New Roman"/>
          <w:color w:val="202124"/>
        </w:rPr>
        <w:t>SDG 6, business strategies</w:t>
      </w:r>
    </w:p>
    <w:p w14:paraId="02AB3F40" w14:textId="7552693A" w:rsidR="002736F5" w:rsidRPr="00052B2D" w:rsidRDefault="002736F5" w:rsidP="00B40198">
      <w:pPr>
        <w:pStyle w:val="Default"/>
        <w:spacing w:after="100" w:afterAutospacing="1" w:line="360" w:lineRule="auto"/>
        <w:jc w:val="both"/>
        <w:rPr>
          <w:rFonts w:ascii="Times New Roman" w:hAnsi="Times New Roman" w:cs="Times New Roman"/>
          <w:b/>
          <w:color w:val="auto"/>
          <w:sz w:val="22"/>
          <w:szCs w:val="22"/>
        </w:rPr>
      </w:pPr>
    </w:p>
    <w:p w14:paraId="5C7D73A7" w14:textId="77777777" w:rsidR="00F87BE5" w:rsidRPr="00740900" w:rsidRDefault="00DB4DD6" w:rsidP="00B40198">
      <w:pPr>
        <w:spacing w:line="360" w:lineRule="auto"/>
        <w:jc w:val="center"/>
        <w:rPr>
          <w:rFonts w:ascii="Times New Roman" w:hAnsi="Times New Roman" w:cs="Times New Roman"/>
          <w:b/>
          <w:sz w:val="24"/>
          <w:szCs w:val="24"/>
        </w:rPr>
      </w:pPr>
      <w:r w:rsidRPr="00740900">
        <w:rPr>
          <w:rFonts w:ascii="Times New Roman" w:hAnsi="Times New Roman" w:cs="Times New Roman"/>
          <w:b/>
          <w:sz w:val="24"/>
          <w:szCs w:val="24"/>
        </w:rPr>
        <w:t>Resumen</w:t>
      </w:r>
    </w:p>
    <w:p w14:paraId="1865A1D8" w14:textId="2B08644D" w:rsidR="00B40198" w:rsidRDefault="00B40198" w:rsidP="00B40198">
      <w:pPr>
        <w:pStyle w:val="Default"/>
        <w:spacing w:after="100" w:afterAutospacing="1" w:line="360" w:lineRule="auto"/>
        <w:jc w:val="both"/>
        <w:rPr>
          <w:rFonts w:ascii="Times New Roman" w:hAnsi="Times New Roman" w:cs="Times New Roman"/>
          <w:color w:val="auto"/>
          <w:sz w:val="22"/>
          <w:szCs w:val="22"/>
        </w:rPr>
      </w:pPr>
      <w:r w:rsidRPr="00350172">
        <w:rPr>
          <w:rFonts w:ascii="Times New Roman" w:hAnsi="Times New Roman" w:cs="Times New Roman"/>
          <w:sz w:val="22"/>
          <w:szCs w:val="22"/>
        </w:rPr>
        <w:t>Los inversores responsables y demás grupos de interés requieren cada vez mayor y mejor información sobre la gestión de las empresas en cuanto a aspectos de res</w:t>
      </w:r>
      <w:r>
        <w:rPr>
          <w:rFonts w:ascii="Times New Roman" w:hAnsi="Times New Roman" w:cs="Times New Roman"/>
          <w:sz w:val="22"/>
          <w:szCs w:val="22"/>
        </w:rPr>
        <w:t xml:space="preserve">ponsabilidad social empresaria. </w:t>
      </w:r>
      <w:r w:rsidRPr="00350172">
        <w:rPr>
          <w:rFonts w:ascii="Times New Roman" w:hAnsi="Times New Roman" w:cs="Times New Roman"/>
          <w:sz w:val="22"/>
          <w:szCs w:val="22"/>
        </w:rPr>
        <w:t>Instituciones y organismos internacionales promueven la presentación de información sustentable mediante lineamientos, directrices</w:t>
      </w:r>
      <w:r>
        <w:rPr>
          <w:rFonts w:ascii="Times New Roman" w:hAnsi="Times New Roman" w:cs="Times New Roman"/>
          <w:sz w:val="22"/>
          <w:szCs w:val="22"/>
        </w:rPr>
        <w:t xml:space="preserve"> o</w:t>
      </w:r>
      <w:r w:rsidRPr="00350172">
        <w:rPr>
          <w:rFonts w:ascii="Times New Roman" w:hAnsi="Times New Roman" w:cs="Times New Roman"/>
          <w:sz w:val="22"/>
          <w:szCs w:val="22"/>
        </w:rPr>
        <w:t xml:space="preserve"> guías</w:t>
      </w:r>
      <w:r>
        <w:rPr>
          <w:rFonts w:ascii="Times New Roman" w:hAnsi="Times New Roman" w:cs="Times New Roman"/>
          <w:sz w:val="22"/>
          <w:szCs w:val="22"/>
        </w:rPr>
        <w:t>.</w:t>
      </w:r>
      <w:r w:rsidRPr="00350172">
        <w:rPr>
          <w:rFonts w:ascii="Times New Roman" w:hAnsi="Times New Roman" w:cs="Times New Roman"/>
          <w:sz w:val="22"/>
          <w:szCs w:val="22"/>
        </w:rPr>
        <w:t xml:space="preserve"> Las organizaciones que elaboran sus reportes de sustentabilidad basadas en lineamientos de la Global Reportin</w:t>
      </w:r>
      <w:r>
        <w:rPr>
          <w:rFonts w:ascii="Times New Roman" w:hAnsi="Times New Roman" w:cs="Times New Roman"/>
          <w:sz w:val="22"/>
          <w:szCs w:val="22"/>
        </w:rPr>
        <w:t>g</w:t>
      </w:r>
      <w:r w:rsidRPr="00350172">
        <w:rPr>
          <w:rFonts w:ascii="Times New Roman" w:hAnsi="Times New Roman" w:cs="Times New Roman"/>
          <w:sz w:val="22"/>
          <w:szCs w:val="22"/>
        </w:rPr>
        <w:t xml:space="preserve"> Initiative (GRI), pueden mostrar estrategias de sustentabilidad que contribuyen a los ODS a 2030</w:t>
      </w:r>
      <w:r>
        <w:rPr>
          <w:rFonts w:ascii="Times New Roman" w:hAnsi="Times New Roman" w:cs="Times New Roman"/>
          <w:sz w:val="22"/>
          <w:szCs w:val="22"/>
        </w:rPr>
        <w:t>.</w:t>
      </w:r>
      <w:r w:rsidRPr="00350172">
        <w:rPr>
          <w:rFonts w:ascii="Times New Roman" w:hAnsi="Times New Roman" w:cs="Times New Roman"/>
          <w:sz w:val="22"/>
          <w:szCs w:val="22"/>
        </w:rPr>
        <w:t xml:space="preserve"> El objetivo </w:t>
      </w:r>
      <w:r>
        <w:rPr>
          <w:rFonts w:ascii="Times New Roman" w:hAnsi="Times New Roman" w:cs="Times New Roman"/>
          <w:sz w:val="22"/>
          <w:szCs w:val="22"/>
        </w:rPr>
        <w:t>de la presente</w:t>
      </w:r>
      <w:r w:rsidRPr="00350172">
        <w:rPr>
          <w:rFonts w:ascii="Times New Roman" w:hAnsi="Times New Roman" w:cs="Times New Roman"/>
          <w:sz w:val="22"/>
          <w:szCs w:val="22"/>
        </w:rPr>
        <w:t xml:space="preserve"> investigación consist</w:t>
      </w:r>
      <w:r>
        <w:rPr>
          <w:rFonts w:ascii="Times New Roman" w:hAnsi="Times New Roman" w:cs="Times New Roman"/>
          <w:sz w:val="22"/>
          <w:szCs w:val="22"/>
        </w:rPr>
        <w:t>ió</w:t>
      </w:r>
      <w:r w:rsidRPr="00350172">
        <w:rPr>
          <w:rFonts w:ascii="Times New Roman" w:hAnsi="Times New Roman" w:cs="Times New Roman"/>
          <w:sz w:val="22"/>
          <w:szCs w:val="22"/>
        </w:rPr>
        <w:t xml:space="preserve"> en analizar las revelaciones sobre los modelos de producción responsables de las empresas argentinas que adhirieren al ODS 6, tendiente a garantizar la disponibilidad de agua y su gestión sostenible, a través de las siguientes hipótesis: 1) Cada organización puede alinear sus estrategias sustentables a los objetivos y metas de los ODS que se relacionen con sus cuestiones materiales definidas en conjunto con las partes interesadas. 2) Las organizaciones que elaboran sus reportes de sustentabilidad a través del GRI pueden </w:t>
      </w:r>
      <w:r w:rsidRPr="00350172">
        <w:rPr>
          <w:rFonts w:ascii="Times New Roman" w:hAnsi="Times New Roman" w:cs="Times New Roman"/>
          <w:color w:val="auto"/>
          <w:sz w:val="22"/>
          <w:szCs w:val="22"/>
        </w:rPr>
        <w:t xml:space="preserve">mostrar las </w:t>
      </w:r>
      <w:r w:rsidRPr="00350172">
        <w:rPr>
          <w:rFonts w:ascii="Times New Roman" w:hAnsi="Times New Roman" w:cs="Times New Roman"/>
          <w:sz w:val="22"/>
          <w:szCs w:val="22"/>
        </w:rPr>
        <w:t xml:space="preserve">estrategias de sustentabilidad </w:t>
      </w:r>
      <w:r w:rsidRPr="00350172">
        <w:rPr>
          <w:rFonts w:ascii="Times New Roman" w:hAnsi="Times New Roman" w:cs="Times New Roman"/>
          <w:color w:val="auto"/>
          <w:sz w:val="22"/>
          <w:szCs w:val="22"/>
        </w:rPr>
        <w:t>que contribuyen a los ODS a 2030</w:t>
      </w:r>
      <w:r w:rsidR="00423C02">
        <w:rPr>
          <w:rFonts w:ascii="Times New Roman" w:hAnsi="Times New Roman" w:cs="Times New Roman"/>
          <w:color w:val="auto"/>
          <w:sz w:val="22"/>
          <w:szCs w:val="22"/>
        </w:rPr>
        <w:t xml:space="preserve"> (con énfasis</w:t>
      </w:r>
      <w:r w:rsidR="000F52D8">
        <w:rPr>
          <w:rFonts w:ascii="Times New Roman" w:hAnsi="Times New Roman" w:cs="Times New Roman"/>
          <w:color w:val="auto"/>
          <w:sz w:val="22"/>
          <w:szCs w:val="22"/>
        </w:rPr>
        <w:t>, en este trabajo</w:t>
      </w:r>
      <w:r w:rsidR="00423C02">
        <w:rPr>
          <w:rFonts w:ascii="Times New Roman" w:hAnsi="Times New Roman" w:cs="Times New Roman"/>
          <w:color w:val="auto"/>
          <w:sz w:val="22"/>
          <w:szCs w:val="22"/>
        </w:rPr>
        <w:t xml:space="preserve"> en el n°6),</w:t>
      </w:r>
      <w:r w:rsidRPr="00350172">
        <w:rPr>
          <w:rFonts w:ascii="Times New Roman" w:hAnsi="Times New Roman" w:cs="Times New Roman"/>
          <w:color w:val="auto"/>
          <w:sz w:val="22"/>
          <w:szCs w:val="22"/>
        </w:rPr>
        <w:t xml:space="preserve"> </w:t>
      </w:r>
      <w:r w:rsidRPr="00350172">
        <w:rPr>
          <w:rFonts w:ascii="Times New Roman" w:hAnsi="Times New Roman" w:cs="Times New Roman"/>
          <w:sz w:val="22"/>
          <w:szCs w:val="22"/>
        </w:rPr>
        <w:t xml:space="preserve">mediante los indicadores </w:t>
      </w:r>
      <w:r w:rsidRPr="00350172">
        <w:rPr>
          <w:rFonts w:ascii="Times New Roman" w:hAnsi="Times New Roman" w:cs="Times New Roman"/>
          <w:color w:val="auto"/>
          <w:sz w:val="22"/>
          <w:szCs w:val="22"/>
        </w:rPr>
        <w:t xml:space="preserve">relacionados con sus objetivos </w:t>
      </w:r>
      <w:r w:rsidRPr="00350172">
        <w:rPr>
          <w:rFonts w:ascii="Times New Roman" w:hAnsi="Times New Roman" w:cs="Times New Roman"/>
          <w:sz w:val="22"/>
          <w:szCs w:val="22"/>
        </w:rPr>
        <w:t xml:space="preserve">y metas. El enfoque </w:t>
      </w:r>
      <w:r>
        <w:rPr>
          <w:rFonts w:ascii="Times New Roman" w:hAnsi="Times New Roman" w:cs="Times New Roman"/>
          <w:sz w:val="22"/>
          <w:szCs w:val="22"/>
        </w:rPr>
        <w:t>de la</w:t>
      </w:r>
      <w:r w:rsidRPr="00350172">
        <w:rPr>
          <w:rFonts w:ascii="Times New Roman" w:hAnsi="Times New Roman" w:cs="Times New Roman"/>
          <w:sz w:val="22"/>
          <w:szCs w:val="22"/>
        </w:rPr>
        <w:t xml:space="preserve"> investigación consistió</w:t>
      </w:r>
      <w:r>
        <w:rPr>
          <w:rFonts w:ascii="Times New Roman" w:hAnsi="Times New Roman" w:cs="Times New Roman"/>
          <w:sz w:val="22"/>
          <w:szCs w:val="22"/>
        </w:rPr>
        <w:t xml:space="preserve"> </w:t>
      </w:r>
      <w:r w:rsidRPr="00350172">
        <w:rPr>
          <w:rFonts w:ascii="Times New Roman" w:hAnsi="Times New Roman" w:cs="Times New Roman"/>
          <w:sz w:val="22"/>
          <w:szCs w:val="22"/>
        </w:rPr>
        <w:t xml:space="preserve">en la revisión del marco conceptual existente en relación a </w:t>
      </w:r>
      <w:r w:rsidRPr="00350172">
        <w:rPr>
          <w:rFonts w:ascii="Times New Roman" w:hAnsi="Times New Roman" w:cs="Times New Roman"/>
          <w:sz w:val="22"/>
          <w:szCs w:val="22"/>
        </w:rPr>
        <w:lastRenderedPageBreak/>
        <w:t>la temática abordada</w:t>
      </w:r>
      <w:r>
        <w:rPr>
          <w:rFonts w:ascii="Times New Roman" w:hAnsi="Times New Roman" w:cs="Times New Roman"/>
          <w:sz w:val="22"/>
          <w:szCs w:val="22"/>
        </w:rPr>
        <w:t xml:space="preserve">, para luego desarrollar </w:t>
      </w:r>
      <w:r w:rsidRPr="00350172">
        <w:rPr>
          <w:rFonts w:ascii="Times New Roman" w:hAnsi="Times New Roman" w:cs="Times New Roman"/>
          <w:sz w:val="22"/>
          <w:szCs w:val="22"/>
        </w:rPr>
        <w:t>estudios empíricos a</w:t>
      </w:r>
      <w:r>
        <w:rPr>
          <w:rFonts w:ascii="Times New Roman" w:hAnsi="Times New Roman" w:cs="Times New Roman"/>
          <w:sz w:val="22"/>
          <w:szCs w:val="22"/>
        </w:rPr>
        <w:t xml:space="preserve">cerca del desempeño empresarial, analizando </w:t>
      </w:r>
      <w:r w:rsidRPr="00350172">
        <w:rPr>
          <w:rFonts w:ascii="Times New Roman" w:hAnsi="Times New Roman" w:cs="Times New Roman"/>
          <w:sz w:val="22"/>
          <w:szCs w:val="22"/>
        </w:rPr>
        <w:t xml:space="preserve">Reportes de Sustentabilidad que revelaron los aspectos bajo análisis. </w:t>
      </w:r>
      <w:r>
        <w:rPr>
          <w:rFonts w:ascii="Times New Roman" w:hAnsi="Times New Roman" w:cs="Times New Roman"/>
          <w:sz w:val="22"/>
          <w:szCs w:val="22"/>
        </w:rPr>
        <w:t>Se</w:t>
      </w:r>
      <w:r w:rsidRPr="00350172">
        <w:rPr>
          <w:rFonts w:ascii="Times New Roman" w:hAnsi="Times New Roman" w:cs="Times New Roman"/>
          <w:sz w:val="22"/>
          <w:szCs w:val="22"/>
        </w:rPr>
        <w:t xml:space="preserve"> observó que las empresas con estrategias RSE incorporan los ODS, habiendo analizado específicamente el ODS 6: Garantizar la disponibilidad de agua y su gestión y el saneamiento para todos. Los resultados muestran que todas las empresas analizadas presentan sus estrategias de negocios RSE que incluyen el ODS 6.  Los indicadores de desempeño cuantitativos que presentan las revelaciones muestran claramente como la empresa se desempeña, y suma valor a las partes interesadas. </w:t>
      </w:r>
    </w:p>
    <w:p w14:paraId="0E03E13C" w14:textId="610D0365" w:rsidR="00B40198" w:rsidRPr="00052B2D" w:rsidRDefault="00423C02" w:rsidP="00423C02">
      <w:pPr>
        <w:spacing w:line="360" w:lineRule="auto"/>
        <w:jc w:val="center"/>
        <w:rPr>
          <w:rFonts w:ascii="Times New Roman" w:hAnsi="Times New Roman" w:cs="Times New Roman"/>
          <w:b/>
          <w:sz w:val="24"/>
          <w:szCs w:val="24"/>
          <w:lang w:val="en-US"/>
        </w:rPr>
      </w:pPr>
      <w:r w:rsidRPr="00052B2D">
        <w:rPr>
          <w:rFonts w:ascii="Times New Roman" w:hAnsi="Times New Roman" w:cs="Times New Roman"/>
          <w:b/>
          <w:sz w:val="24"/>
          <w:szCs w:val="24"/>
          <w:lang w:val="en-US"/>
        </w:rPr>
        <w:t>Abstract</w:t>
      </w:r>
    </w:p>
    <w:p w14:paraId="5B260DA0" w14:textId="43531B4A" w:rsidR="00207938" w:rsidRPr="00207938" w:rsidRDefault="003C1FD4" w:rsidP="00207938">
      <w:pPr>
        <w:pStyle w:val="HTMLconformatoprevio"/>
        <w:shd w:val="clear" w:color="auto" w:fill="FFFFFF" w:themeFill="background1"/>
        <w:spacing w:line="360" w:lineRule="auto"/>
        <w:jc w:val="both"/>
        <w:rPr>
          <w:rFonts w:ascii="Times New Roman" w:hAnsi="Times New Roman" w:cs="Times New Roman"/>
          <w:color w:val="202124"/>
          <w:sz w:val="22"/>
          <w:szCs w:val="22"/>
        </w:rPr>
      </w:pPr>
      <w:r w:rsidRPr="003C1FD4">
        <w:rPr>
          <w:rFonts w:ascii="Times New Roman" w:hAnsi="Times New Roman" w:cs="Times New Roman"/>
          <w:color w:val="202124"/>
          <w:sz w:val="22"/>
          <w:szCs w:val="22"/>
          <w:lang w:val="en"/>
        </w:rPr>
        <w:t>Responsible investors and other interest groups increasingly require more and better information on company management in terms of aspects of corporate social responsibility. Institutions and international organizations promote the presentation of sustainable information through guidelines, directives or guides. Organizations that prepare their sustainability reports based on the Global Reporting Initiative (GRI) guidelines can show sustainability strategies that contribute to the SDGs by 2030.</w:t>
      </w:r>
      <w:r>
        <w:rPr>
          <w:rFonts w:ascii="Times New Roman" w:hAnsi="Times New Roman" w:cs="Times New Roman"/>
          <w:color w:val="202124"/>
          <w:lang w:val="en"/>
        </w:rPr>
        <w:t xml:space="preserve"> </w:t>
      </w:r>
      <w:r w:rsidRPr="003C1FD4">
        <w:rPr>
          <w:rStyle w:val="y2iqfc"/>
          <w:rFonts w:ascii="Times New Roman" w:hAnsi="Times New Roman" w:cs="Times New Roman"/>
          <w:color w:val="202124"/>
          <w:sz w:val="22"/>
          <w:szCs w:val="22"/>
          <w:lang w:val="en"/>
        </w:rPr>
        <w:t>The objective of this research was to analyze the revelations about the responsible production models of Argentine companies that adhere to SDG 6, aimed at guaranteeing the availability of water and its sustainable management, through the following hypotheses: 1) Each organization can align your sustainable strategies to the goals and targets of the SDGs that relate to your material issues defined together with stakeholders. 2) The organizations that prepare their sustainability reports through the GRI can show the sustainability strategies that contribute to the SDGs by 2030 (with emphasis, in this work on No. 6), through the indicators related to their objectives and goals.</w:t>
      </w:r>
      <w:r>
        <w:rPr>
          <w:rStyle w:val="y2iqfc"/>
          <w:rFonts w:ascii="Times New Roman" w:hAnsi="Times New Roman" w:cs="Times New Roman"/>
          <w:color w:val="202124"/>
          <w:sz w:val="22"/>
          <w:szCs w:val="22"/>
          <w:lang w:val="en"/>
        </w:rPr>
        <w:t xml:space="preserve"> </w:t>
      </w:r>
      <w:r w:rsidR="00207938" w:rsidRPr="00207938">
        <w:rPr>
          <w:rStyle w:val="y2iqfc"/>
          <w:rFonts w:ascii="Times New Roman" w:hAnsi="Times New Roman" w:cs="Times New Roman"/>
          <w:color w:val="202124"/>
          <w:sz w:val="22"/>
          <w:szCs w:val="22"/>
          <w:lang w:val="en"/>
        </w:rPr>
        <w:t>The research approach consisted of reviewing the existing conceptual framework in relation to the topic addressed, to develop empirical studies on business performance, analyzing Sustainability Reports that revealed the aspects under analysis. It was observed that companies with CSR strategies incorporate the SDGs, having specifically analyzed SDG 6: Guarantee the availability of water and its management and sanitation for all. The results show that all the companies analyzed present their CSR business strategies that include SDG 6. The quantitative performance indicators that the disclosures present clearly show how the company performs, and adds value to the stakeholders.</w:t>
      </w:r>
    </w:p>
    <w:p w14:paraId="361F69C8" w14:textId="7209C7A7" w:rsidR="003C1FD4" w:rsidRPr="00207938" w:rsidRDefault="003C1FD4" w:rsidP="00207938">
      <w:pPr>
        <w:pStyle w:val="HTMLconformatoprevio"/>
        <w:shd w:val="clear" w:color="auto" w:fill="FFFFFF" w:themeFill="background1"/>
        <w:spacing w:line="360" w:lineRule="auto"/>
        <w:jc w:val="both"/>
        <w:rPr>
          <w:rFonts w:ascii="Times New Roman" w:hAnsi="Times New Roman" w:cs="Times New Roman"/>
          <w:color w:val="202124"/>
          <w:sz w:val="22"/>
          <w:szCs w:val="22"/>
        </w:rPr>
      </w:pPr>
    </w:p>
    <w:p w14:paraId="7E514946" w14:textId="78BAEA03" w:rsidR="00B40198" w:rsidRDefault="00B40198" w:rsidP="00740900">
      <w:pPr>
        <w:spacing w:line="360" w:lineRule="auto"/>
        <w:jc w:val="both"/>
        <w:rPr>
          <w:rFonts w:ascii="Times New Roman" w:hAnsi="Times New Roman" w:cs="Times New Roman"/>
          <w:b/>
          <w:sz w:val="24"/>
          <w:szCs w:val="24"/>
          <w:lang w:val="en-US"/>
        </w:rPr>
      </w:pPr>
    </w:p>
    <w:p w14:paraId="35B0621D" w14:textId="4AB0B11A" w:rsidR="00200903" w:rsidRDefault="00200903" w:rsidP="00740900">
      <w:pPr>
        <w:spacing w:line="360" w:lineRule="auto"/>
        <w:jc w:val="both"/>
        <w:rPr>
          <w:rFonts w:ascii="Times New Roman" w:hAnsi="Times New Roman" w:cs="Times New Roman"/>
          <w:b/>
          <w:sz w:val="24"/>
          <w:szCs w:val="24"/>
          <w:lang w:val="en-US"/>
        </w:rPr>
      </w:pPr>
    </w:p>
    <w:p w14:paraId="7786FF9E" w14:textId="1109540D" w:rsidR="00200903" w:rsidRDefault="00200903" w:rsidP="00740900">
      <w:pPr>
        <w:spacing w:line="360" w:lineRule="auto"/>
        <w:jc w:val="both"/>
        <w:rPr>
          <w:rFonts w:ascii="Times New Roman" w:hAnsi="Times New Roman" w:cs="Times New Roman"/>
          <w:b/>
          <w:sz w:val="24"/>
          <w:szCs w:val="24"/>
          <w:lang w:val="en-US"/>
        </w:rPr>
      </w:pPr>
    </w:p>
    <w:p w14:paraId="2DEA2FBF" w14:textId="77777777" w:rsidR="00200903" w:rsidRPr="003C1FD4" w:rsidRDefault="00200903" w:rsidP="00740900">
      <w:pPr>
        <w:spacing w:line="360" w:lineRule="auto"/>
        <w:jc w:val="both"/>
        <w:rPr>
          <w:rFonts w:ascii="Times New Roman" w:hAnsi="Times New Roman" w:cs="Times New Roman"/>
          <w:b/>
          <w:sz w:val="24"/>
          <w:szCs w:val="24"/>
          <w:lang w:val="en-US"/>
        </w:rPr>
      </w:pPr>
    </w:p>
    <w:p w14:paraId="0C10F24D" w14:textId="0720545E" w:rsidR="003733DF" w:rsidRDefault="00880239" w:rsidP="00740900">
      <w:pPr>
        <w:spacing w:line="360" w:lineRule="auto"/>
        <w:jc w:val="both"/>
        <w:rPr>
          <w:rFonts w:ascii="Times New Roman" w:hAnsi="Times New Roman" w:cs="Times New Roman"/>
          <w:b/>
          <w:sz w:val="24"/>
          <w:szCs w:val="24"/>
        </w:rPr>
      </w:pPr>
      <w:r w:rsidRPr="00880239">
        <w:rPr>
          <w:rFonts w:ascii="Times New Roman" w:hAnsi="Times New Roman" w:cs="Times New Roman"/>
          <w:b/>
          <w:sz w:val="24"/>
          <w:szCs w:val="24"/>
        </w:rPr>
        <w:lastRenderedPageBreak/>
        <w:t>Introducción</w:t>
      </w:r>
    </w:p>
    <w:p w14:paraId="58793691" w14:textId="1E4319AA" w:rsidR="00880239" w:rsidRDefault="00880239" w:rsidP="0074090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Planteamiento del problema</w:t>
      </w:r>
    </w:p>
    <w:p w14:paraId="0F3C592A" w14:textId="34028A49" w:rsidR="00557368" w:rsidRDefault="000949E6" w:rsidP="00557368">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El acceso a recursos hídricos potables, limpios y seguros es un requisito fundamental para que las comunidades prosperen. Aunque en los países desarrollados con frecuencia se den por descontados el acceso al agua y el saneamiento, son muchos los habitantes del planeta que viven cada día privados de ese derecho fundamental (Brooks &amp; Carey, 2022). </w:t>
      </w:r>
    </w:p>
    <w:p w14:paraId="47A072E0" w14:textId="4B2F4762" w:rsidR="003C180C" w:rsidRDefault="00AD30C5" w:rsidP="003C180C">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En el último siglo, la demanda a nivel mundial de agua se ha incrementado debido a la alta tasa de crecimiento demográfico, el desarrollo económico, las modalidades cambiantes de consumo y la rápida urbanización. Esta demanda se intensifica con el cambio climático y los fenómenos meteorológicos extremos que generan, cada vez con mayor frecuencia</w:t>
      </w:r>
      <w:r w:rsidR="00FD385C">
        <w:rPr>
          <w:rFonts w:ascii="Times New Roman" w:hAnsi="Times New Roman" w:cs="Times New Roman"/>
          <w:sz w:val="24"/>
          <w:szCs w:val="24"/>
        </w:rPr>
        <w:t>,</w:t>
      </w:r>
      <w:r>
        <w:rPr>
          <w:rFonts w:ascii="Times New Roman" w:hAnsi="Times New Roman" w:cs="Times New Roman"/>
          <w:sz w:val="24"/>
          <w:szCs w:val="24"/>
        </w:rPr>
        <w:t xml:space="preserve"> sequías e inundaciones. (Pac</w:t>
      </w:r>
      <w:r w:rsidR="003C180C">
        <w:rPr>
          <w:rFonts w:ascii="Times New Roman" w:hAnsi="Times New Roman" w:cs="Times New Roman"/>
          <w:sz w:val="24"/>
          <w:szCs w:val="24"/>
        </w:rPr>
        <w:t xml:space="preserve">to Mundial-Red Española, 2022). </w:t>
      </w:r>
    </w:p>
    <w:p w14:paraId="1B0CF375" w14:textId="1CD51DB7" w:rsidR="000949E6" w:rsidRDefault="003C180C" w:rsidP="003C180C">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000949E6">
        <w:rPr>
          <w:rFonts w:ascii="Times New Roman" w:hAnsi="Times New Roman" w:cs="Times New Roman"/>
          <w:sz w:val="24"/>
          <w:szCs w:val="24"/>
        </w:rPr>
        <w:t xml:space="preserve">El Objetivo de Desarrollo Sostenible (ODS) 6, formulado por el Grupo de Trabajo Abierto de las Naciones Unidas, plantea una meta que, si bien es ambiciosa, se considerable viable para los próximos veinte años: garantizar la disponibilidad y la gestión sostenible del agua y el saneamiento para todos. </w:t>
      </w:r>
    </w:p>
    <w:p w14:paraId="36E1C92D" w14:textId="0FDFFD08" w:rsidR="003C180C" w:rsidRDefault="003C180C" w:rsidP="003C180C">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Para el logro de este objetivo, las empresas han de gestionar los recursos hídricos de manera sostenible en la creación de sus productos y servicios. Dicho curso de acción debe estar incluido en sus estrategias de negocio, en una definición conjunta con sus stakeholders.</w:t>
      </w:r>
    </w:p>
    <w:p w14:paraId="1EFAD527" w14:textId="2FFACF6D" w:rsidR="003C180C" w:rsidRDefault="003C180C" w:rsidP="003C180C">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Una de las formas en que las empresas pueden contribuir al cumplimiento del ODS 6</w:t>
      </w:r>
      <w:r w:rsidR="00FD385C">
        <w:rPr>
          <w:rFonts w:ascii="Times New Roman" w:hAnsi="Times New Roman" w:cs="Times New Roman"/>
          <w:sz w:val="24"/>
          <w:szCs w:val="24"/>
        </w:rPr>
        <w:t xml:space="preserve">, según Pacto Mundial-Red Española (2022), es mediante el establecimiento de un compromiso público, el que bien puede quedar reflejado en sus Reportes de Sustentabilidad. Para la confección de los mismos, las mismas cuentan con diferentes guías (aquí se analizará la emitida por la Global Reporting Initiative) que contiene indicadores específicos que no sólo les permiten a las empresas comprobar los avances y contribuciones al desarrollo sostenible, sino comunicarlas a todas las partes interesadas. </w:t>
      </w:r>
      <w:r w:rsidR="00330AF2">
        <w:rPr>
          <w:rFonts w:ascii="Times New Roman" w:hAnsi="Times New Roman" w:cs="Times New Roman"/>
          <w:sz w:val="24"/>
          <w:szCs w:val="24"/>
        </w:rPr>
        <w:t xml:space="preserve">Cabe resaltar que, los inversores responsables requieren cada vez mayor y mejor información sobre la gestión de las empresas en cuanto a variables de responsabilidad social empresaria. </w:t>
      </w:r>
    </w:p>
    <w:p w14:paraId="67D33389" w14:textId="3DA4E4FF" w:rsidR="003C180C" w:rsidRPr="00557368" w:rsidRDefault="003C180C" w:rsidP="00557368">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
    <w:p w14:paraId="21359253" w14:textId="688A6F32" w:rsidR="004450C8" w:rsidRDefault="004450C8" w:rsidP="008F2DE1">
      <w:pPr>
        <w:spacing w:after="0" w:line="360" w:lineRule="auto"/>
        <w:ind w:left="720" w:hanging="720"/>
        <w:jc w:val="both"/>
        <w:rPr>
          <w:rFonts w:ascii="Times New Roman" w:hAnsi="Times New Roman" w:cs="Times New Roman"/>
          <w:sz w:val="24"/>
          <w:szCs w:val="24"/>
        </w:rPr>
      </w:pPr>
    </w:p>
    <w:p w14:paraId="21D8D15E" w14:textId="7817D20D" w:rsidR="00A86352" w:rsidRDefault="00A86352" w:rsidP="008F2DE1">
      <w:pPr>
        <w:spacing w:after="0" w:line="360" w:lineRule="auto"/>
        <w:ind w:left="720" w:hanging="720"/>
        <w:jc w:val="both"/>
        <w:rPr>
          <w:rFonts w:ascii="Times New Roman" w:hAnsi="Times New Roman" w:cs="Times New Roman"/>
          <w:b/>
          <w:i/>
          <w:sz w:val="24"/>
          <w:szCs w:val="24"/>
        </w:rPr>
      </w:pPr>
      <w:r w:rsidRPr="00A86352">
        <w:rPr>
          <w:rFonts w:ascii="Times New Roman" w:hAnsi="Times New Roman" w:cs="Times New Roman"/>
          <w:b/>
          <w:i/>
          <w:sz w:val="24"/>
          <w:szCs w:val="24"/>
        </w:rPr>
        <w:t>Objetivo</w:t>
      </w:r>
    </w:p>
    <w:p w14:paraId="44E2386E" w14:textId="77777777" w:rsidR="00E1553D" w:rsidRDefault="00E1553D" w:rsidP="008F2DE1">
      <w:pPr>
        <w:spacing w:after="0" w:line="360" w:lineRule="auto"/>
        <w:ind w:left="720" w:hanging="720"/>
        <w:jc w:val="both"/>
        <w:rPr>
          <w:rFonts w:ascii="Times New Roman" w:hAnsi="Times New Roman" w:cs="Times New Roman"/>
          <w:b/>
          <w:i/>
          <w:sz w:val="24"/>
          <w:szCs w:val="24"/>
        </w:rPr>
      </w:pPr>
    </w:p>
    <w:p w14:paraId="43B8DB56" w14:textId="61EDF2F8" w:rsidR="00A86352" w:rsidRPr="00330AF2" w:rsidRDefault="00330AF2" w:rsidP="008F2DE1">
      <w:pPr>
        <w:spacing w:after="0" w:line="360" w:lineRule="auto"/>
        <w:ind w:left="720" w:hanging="720"/>
        <w:jc w:val="both"/>
        <w:rPr>
          <w:rFonts w:ascii="Times New Roman" w:hAnsi="Times New Roman" w:cs="Times New Roman"/>
          <w:sz w:val="24"/>
          <w:szCs w:val="24"/>
        </w:rPr>
      </w:pPr>
      <w:r w:rsidRPr="00330AF2">
        <w:rPr>
          <w:rFonts w:ascii="Times New Roman" w:hAnsi="Times New Roman" w:cs="Times New Roman"/>
          <w:sz w:val="24"/>
          <w:szCs w:val="24"/>
        </w:rPr>
        <w:t>El objetivo de la presente investigación consistió en analizar las revelaciones sobre los modelos de producción responsables de las empresas argentinas que adhirieren al ODS 6, tendiente a garantizar la disponibilidad de agua y su gestión sostenible, a través de las siguientes hipótesis: 1) Cada organización puede alinear sus estrategias sustentables a los objetivos y metas de los ODS que se relacionen con sus cuestiones materiales definidas en conjunto con las partes interesadas. 2) Las organizaciones que elaboran sus reportes de sustentabilidad a través del GRI pueden mostrar las estrategias de sustentabilidad que contribuyen a los ODS a 2030</w:t>
      </w:r>
      <w:r w:rsidR="002B2DDE">
        <w:rPr>
          <w:rFonts w:ascii="Times New Roman" w:hAnsi="Times New Roman" w:cs="Times New Roman"/>
          <w:sz w:val="24"/>
          <w:szCs w:val="24"/>
        </w:rPr>
        <w:t>, en este caso relacionados con el número 6.</w:t>
      </w:r>
      <w:r w:rsidRPr="00330AF2">
        <w:rPr>
          <w:rFonts w:ascii="Times New Roman" w:hAnsi="Times New Roman" w:cs="Times New Roman"/>
          <w:sz w:val="24"/>
          <w:szCs w:val="24"/>
        </w:rPr>
        <w:t>, mediante los indicadores relacionados con sus objetivos y metas.</w:t>
      </w:r>
    </w:p>
    <w:p w14:paraId="41576354" w14:textId="582FF044" w:rsidR="008F496E" w:rsidRDefault="008F496E" w:rsidP="008F2DE1">
      <w:pPr>
        <w:spacing w:after="0" w:line="360" w:lineRule="auto"/>
        <w:ind w:left="720" w:hanging="720"/>
        <w:jc w:val="both"/>
        <w:rPr>
          <w:rFonts w:ascii="Times New Roman" w:hAnsi="Times New Roman" w:cs="Times New Roman"/>
          <w:sz w:val="24"/>
          <w:szCs w:val="24"/>
        </w:rPr>
      </w:pPr>
    </w:p>
    <w:p w14:paraId="45E6BFFA" w14:textId="0CBE93B4" w:rsidR="00D430D4" w:rsidRDefault="008F496E" w:rsidP="00D430D4">
      <w:pPr>
        <w:spacing w:after="0" w:line="720" w:lineRule="auto"/>
        <w:ind w:left="720" w:hanging="720"/>
        <w:jc w:val="both"/>
        <w:rPr>
          <w:rFonts w:ascii="Times New Roman" w:hAnsi="Times New Roman" w:cs="Times New Roman"/>
          <w:b/>
          <w:i/>
          <w:sz w:val="24"/>
          <w:szCs w:val="24"/>
        </w:rPr>
      </w:pPr>
      <w:r w:rsidRPr="008F496E">
        <w:rPr>
          <w:rFonts w:ascii="Times New Roman" w:hAnsi="Times New Roman" w:cs="Times New Roman"/>
          <w:b/>
          <w:i/>
          <w:sz w:val="24"/>
          <w:szCs w:val="24"/>
        </w:rPr>
        <w:t>Aporte de la investigación</w:t>
      </w:r>
      <w:r w:rsidR="00D430D4">
        <w:rPr>
          <w:rFonts w:ascii="Times New Roman" w:hAnsi="Times New Roman" w:cs="Times New Roman"/>
          <w:b/>
          <w:i/>
          <w:sz w:val="24"/>
          <w:szCs w:val="24"/>
        </w:rPr>
        <w:t xml:space="preserve"> </w:t>
      </w:r>
    </w:p>
    <w:p w14:paraId="06351E36" w14:textId="52CDC666" w:rsidR="00D430D4" w:rsidRPr="00465ED6" w:rsidRDefault="00D430D4" w:rsidP="00465ED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Este trabajo de investigación tiene como objetivo efectuar un aporte doctrinario que sume al conocimiento </w:t>
      </w:r>
      <w:r w:rsidR="009D4669">
        <w:rPr>
          <w:rFonts w:ascii="Times New Roman" w:hAnsi="Times New Roman" w:cs="Times New Roman"/>
          <w:sz w:val="24"/>
          <w:szCs w:val="24"/>
        </w:rPr>
        <w:t xml:space="preserve">y profundización del campo específico de la Contabilidad de la Sustentabilidad. </w:t>
      </w:r>
      <w:r w:rsidR="00465ED6" w:rsidRPr="00465ED6">
        <w:rPr>
          <w:rFonts w:ascii="Times New Roman" w:hAnsi="Times New Roman" w:cs="Times New Roman"/>
          <w:bCs/>
          <w:sz w:val="24"/>
          <w:szCs w:val="24"/>
        </w:rPr>
        <w:t>Se espera que el proyecto presente un aporte que permita a los profesionales, docentes y alumnos brindar respuestas a las exigencias actuales en relación con la información contable que permita tomar mejores decisiones a cada una de las partes interesadas sobre el desempeño responsable y sustentable de las organizaciones públicas y privadas</w:t>
      </w:r>
    </w:p>
    <w:p w14:paraId="342ABB3D" w14:textId="665DE9A0" w:rsidR="001F04B2" w:rsidRDefault="001F04B2" w:rsidP="00D430D4">
      <w:pPr>
        <w:spacing w:after="0" w:line="360" w:lineRule="auto"/>
        <w:ind w:left="720" w:hanging="720"/>
        <w:jc w:val="both"/>
        <w:rPr>
          <w:rFonts w:ascii="Times New Roman" w:hAnsi="Times New Roman" w:cs="Times New Roman"/>
          <w:sz w:val="24"/>
          <w:szCs w:val="24"/>
        </w:rPr>
      </w:pPr>
    </w:p>
    <w:p w14:paraId="3BD8907E" w14:textId="5E33B1F1" w:rsidR="001F04B2" w:rsidRDefault="001F04B2" w:rsidP="00D430D4">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Revisión de la literatura</w:t>
      </w:r>
    </w:p>
    <w:p w14:paraId="251F351A" w14:textId="0CE264B7" w:rsidR="00326F50" w:rsidRDefault="00326F50" w:rsidP="00326F50">
      <w:pPr>
        <w:spacing w:after="120" w:line="360" w:lineRule="auto"/>
        <w:jc w:val="both"/>
        <w:rPr>
          <w:rFonts w:ascii="Times New Roman" w:hAnsi="Times New Roman" w:cs="Times New Roman"/>
          <w:b/>
          <w:i/>
          <w:sz w:val="24"/>
          <w:szCs w:val="24"/>
        </w:rPr>
      </w:pPr>
      <w:r>
        <w:rPr>
          <w:rFonts w:ascii="Times New Roman" w:hAnsi="Times New Roman" w:cs="Times New Roman"/>
          <w:b/>
          <w:i/>
          <w:sz w:val="24"/>
          <w:szCs w:val="24"/>
        </w:rPr>
        <w:t>Las estrategias de negocios responsables (RSE) y los objetivos de Desarrollo Sustentable de las Naciones Unidas.</w:t>
      </w:r>
    </w:p>
    <w:p w14:paraId="1E99C042" w14:textId="77777777" w:rsidR="00053921" w:rsidRDefault="00053921" w:rsidP="00326F50">
      <w:pPr>
        <w:spacing w:after="120" w:line="360" w:lineRule="auto"/>
        <w:ind w:left="720" w:hanging="720"/>
        <w:jc w:val="both"/>
        <w:rPr>
          <w:rFonts w:ascii="Times New Roman" w:hAnsi="Times New Roman" w:cs="Times New Roman"/>
          <w:sz w:val="24"/>
          <w:szCs w:val="24"/>
        </w:rPr>
      </w:pPr>
    </w:p>
    <w:p w14:paraId="49B0AF49" w14:textId="74D03E7F" w:rsidR="00053921" w:rsidRDefault="00053921" w:rsidP="00326F50">
      <w:pPr>
        <w:spacing w:after="120" w:line="360" w:lineRule="auto"/>
        <w:ind w:left="720" w:hanging="720"/>
        <w:jc w:val="both"/>
        <w:rPr>
          <w:rFonts w:ascii="Times New Roman" w:hAnsi="Times New Roman" w:cs="Times New Roman"/>
          <w:sz w:val="24"/>
          <w:szCs w:val="24"/>
        </w:rPr>
      </w:pPr>
      <w:r w:rsidRPr="00053921">
        <w:rPr>
          <w:rFonts w:ascii="Times New Roman" w:hAnsi="Times New Roman" w:cs="Times New Roman"/>
          <w:sz w:val="24"/>
          <w:szCs w:val="24"/>
        </w:rPr>
        <w:t xml:space="preserve">En septiembre de 2015, los dirigentes mundiales aprobaron en el seno de las Naciones Unidas los ODS, con lo que quedó constituida la Agenda 2030 para el Desarrollo Sostenible. El documento, titulado Transformar nuestro mundo: la Agenda 2030 para el Desarrollo Sostenible, se define como </w:t>
      </w:r>
      <w:r w:rsidR="00062DE1">
        <w:rPr>
          <w:rFonts w:ascii="Times New Roman" w:hAnsi="Times New Roman" w:cs="Times New Roman"/>
          <w:sz w:val="24"/>
          <w:szCs w:val="24"/>
        </w:rPr>
        <w:t>¨</w:t>
      </w:r>
      <w:r w:rsidRPr="00053921">
        <w:rPr>
          <w:rFonts w:ascii="Times New Roman" w:hAnsi="Times New Roman" w:cs="Times New Roman"/>
          <w:sz w:val="24"/>
          <w:szCs w:val="24"/>
        </w:rPr>
        <w:t>un plan de acción en favor de las personas, el planeta y la prosperidad</w:t>
      </w:r>
      <w:r w:rsidR="00062DE1">
        <w:rPr>
          <w:rFonts w:ascii="Times New Roman" w:hAnsi="Times New Roman" w:cs="Times New Roman"/>
          <w:sz w:val="24"/>
          <w:szCs w:val="24"/>
        </w:rPr>
        <w:t>¨</w:t>
      </w:r>
      <w:r w:rsidRPr="00053921">
        <w:rPr>
          <w:rFonts w:ascii="Times New Roman" w:hAnsi="Times New Roman" w:cs="Times New Roman"/>
          <w:sz w:val="24"/>
          <w:szCs w:val="24"/>
        </w:rPr>
        <w:t xml:space="preserve"> (</w:t>
      </w:r>
      <w:r w:rsidR="005E1024">
        <w:rPr>
          <w:rFonts w:ascii="Times New Roman" w:hAnsi="Times New Roman" w:cs="Times New Roman"/>
          <w:sz w:val="24"/>
          <w:szCs w:val="24"/>
        </w:rPr>
        <w:t xml:space="preserve">Organización de las </w:t>
      </w:r>
      <w:r w:rsidR="00062DE1">
        <w:rPr>
          <w:rFonts w:ascii="Times New Roman" w:hAnsi="Times New Roman" w:cs="Times New Roman"/>
          <w:sz w:val="24"/>
          <w:szCs w:val="24"/>
        </w:rPr>
        <w:t>Naciones Unidas</w:t>
      </w:r>
      <w:r w:rsidRPr="00053921">
        <w:rPr>
          <w:rFonts w:ascii="Times New Roman" w:hAnsi="Times New Roman" w:cs="Times New Roman"/>
          <w:sz w:val="24"/>
          <w:szCs w:val="24"/>
        </w:rPr>
        <w:t xml:space="preserve">, </w:t>
      </w:r>
      <w:r w:rsidRPr="00053921">
        <w:rPr>
          <w:rFonts w:ascii="Times New Roman" w:hAnsi="Times New Roman" w:cs="Times New Roman"/>
          <w:sz w:val="24"/>
          <w:szCs w:val="24"/>
        </w:rPr>
        <w:lastRenderedPageBreak/>
        <w:t>2015). Se compone de 17 objetivos, divididos en 169 metas, que configuran el marco a través del cual los países podrán dirigir sus esfuerzos a poner fin a la pobreza en todas sus formas, reducir la desigualdad y luchar contra el cambio climático</w:t>
      </w:r>
      <w:r w:rsidR="005E1024">
        <w:rPr>
          <w:rFonts w:ascii="Times New Roman" w:hAnsi="Times New Roman" w:cs="Times New Roman"/>
          <w:sz w:val="24"/>
          <w:szCs w:val="24"/>
        </w:rPr>
        <w:tab/>
      </w:r>
    </w:p>
    <w:p w14:paraId="643E8AA8" w14:textId="1A41683A" w:rsidR="00326F50" w:rsidRDefault="00053921"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00326F50">
        <w:rPr>
          <w:rFonts w:ascii="Times New Roman" w:hAnsi="Times New Roman" w:cs="Times New Roman"/>
          <w:sz w:val="24"/>
          <w:szCs w:val="24"/>
        </w:rPr>
        <w:t xml:space="preserve">Las empresas y organizaciones a nivel mundial están llamadas a desarrollar estrategias de negocios RSE que incluyan los Objetivos de Desarrollo Sustentable (ODS). </w:t>
      </w:r>
      <w:r w:rsidR="00326F50" w:rsidRPr="005A1005">
        <w:rPr>
          <w:rFonts w:ascii="Times New Roman" w:hAnsi="Times New Roman" w:cs="Times New Roman"/>
          <w:sz w:val="24"/>
          <w:szCs w:val="24"/>
        </w:rPr>
        <w:t xml:space="preserve">En concordancia con el informe ¨ Better Business, Better World¨ presentado por la Business and Sustainable Development </w:t>
      </w:r>
      <w:r w:rsidR="005A1005" w:rsidRPr="005A1005">
        <w:rPr>
          <w:rFonts w:ascii="Times New Roman" w:hAnsi="Times New Roman" w:cs="Times New Roman"/>
          <w:sz w:val="24"/>
          <w:szCs w:val="24"/>
        </w:rPr>
        <w:t xml:space="preserve">Commission (2017), la incorporación de los ODS en las estrategias de negocios genera, al menos sesenta nuevas oportunidades de negocios a nivel mundial </w:t>
      </w:r>
      <w:r w:rsidR="005A1005">
        <w:rPr>
          <w:rFonts w:ascii="Times New Roman" w:hAnsi="Times New Roman" w:cs="Times New Roman"/>
          <w:sz w:val="24"/>
          <w:szCs w:val="24"/>
        </w:rPr>
        <w:t xml:space="preserve">en sectores tales como agricultura, alimentos, energía, materiales, salud y bienestar. </w:t>
      </w:r>
    </w:p>
    <w:p w14:paraId="0C785A0A" w14:textId="44EEE9D4" w:rsidR="00187FC9" w:rsidRDefault="00187FC9"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Expresado en términos monetarios, </w:t>
      </w:r>
      <w:r w:rsidR="00D71E68">
        <w:rPr>
          <w:rFonts w:ascii="Times New Roman" w:hAnsi="Times New Roman" w:cs="Times New Roman"/>
          <w:sz w:val="24"/>
          <w:szCs w:val="24"/>
        </w:rPr>
        <w:t>esta nueva oportunidad de negocio se estima</w:t>
      </w:r>
      <w:r>
        <w:rPr>
          <w:rFonts w:ascii="Times New Roman" w:hAnsi="Times New Roman" w:cs="Times New Roman"/>
          <w:sz w:val="24"/>
          <w:szCs w:val="24"/>
        </w:rPr>
        <w:t xml:space="preserve"> generen U$S 12 billones, de los cuales U$S 1,2 billones corresponderían a América Latina (Business and Sustainable Development Commission, 2017b).</w:t>
      </w:r>
    </w:p>
    <w:p w14:paraId="5856B334" w14:textId="104CFE9B" w:rsidR="00D57161" w:rsidRDefault="00D57161"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¨Las empresas, como miembros de la sociedad, tienen el deber ético de contribuir a una mejora social (las personas, el planeta y la prosperidad¨ Remacho (2017, p.6). Las mismas se beneficiarán con el alcance de estos objetivos al desaparecer las trabas al crecimiento que se manifiestan en sociedades injustas y desiguales. Creará mercados estables, regulados y competitivos, sistemas financieros transparentes e instituciones sin corrupción y bien gobernadas, materias primas y energía accesibles, empleados calificados e incluso consumidores con mejor poder adquisitivo (Remacho, 2017). </w:t>
      </w:r>
    </w:p>
    <w:p w14:paraId="5CB55361" w14:textId="1AE60C67" w:rsidR="005C5346" w:rsidRDefault="00D57161"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005C5346">
        <w:rPr>
          <w:rFonts w:ascii="Times New Roman" w:hAnsi="Times New Roman" w:cs="Times New Roman"/>
          <w:sz w:val="24"/>
          <w:szCs w:val="24"/>
        </w:rPr>
        <w:t xml:space="preserve">La producción y consumo sostenible es considerada de ¨ alto impacto¨ para las nuevas oportunidades de negocio, ya que su incorporación en las estrategias permitirá el cumplimiento de 11 de las 169 metas globales propuestas por los ODS. La mayoría de las oportunidades de negocios consideran a la producción y consumo sustentable como línea de negocios para la generación de valor. </w:t>
      </w:r>
    </w:p>
    <w:p w14:paraId="4DD537BB" w14:textId="08E8EFE6" w:rsidR="005C5346" w:rsidRDefault="005C5346"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Una vez manifestada la importancia de la inclusión de los ODS en las estrategias de negocios RSE, se considera oportuno analizar una de las metodologías que permiten a las empresas la incorporación de ODS en sus estrategias. </w:t>
      </w:r>
    </w:p>
    <w:p w14:paraId="6B47F6FC" w14:textId="103BBE08" w:rsidR="00C27B43" w:rsidRDefault="00C27B43"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La metodología propuesta por el Global Reporting Initiative (GRI), el Pacto Global de Naciones Unidas y el World Business Council for Sustainable </w:t>
      </w:r>
      <w:r>
        <w:rPr>
          <w:rFonts w:ascii="Times New Roman" w:hAnsi="Times New Roman" w:cs="Times New Roman"/>
          <w:sz w:val="24"/>
          <w:szCs w:val="24"/>
        </w:rPr>
        <w:lastRenderedPageBreak/>
        <w:t>Development (WBCSD), (2015),</w:t>
      </w:r>
      <w:r w:rsidR="00944E8D">
        <w:rPr>
          <w:rFonts w:ascii="Times New Roman" w:hAnsi="Times New Roman" w:cs="Times New Roman"/>
          <w:sz w:val="24"/>
          <w:szCs w:val="24"/>
        </w:rPr>
        <w:t xml:space="preserve"> publicaban el SDG Compass (la brújula de los ODS), la que </w:t>
      </w:r>
      <w:r>
        <w:rPr>
          <w:rFonts w:ascii="Times New Roman" w:hAnsi="Times New Roman" w:cs="Times New Roman"/>
          <w:sz w:val="24"/>
          <w:szCs w:val="24"/>
        </w:rPr>
        <w:t xml:space="preserve">constituye una guía de inclusión de los ODS en las estrategias de negocios RSE de las empresas. </w:t>
      </w:r>
    </w:p>
    <w:p w14:paraId="6E0D0B95" w14:textId="33293594" w:rsidR="00F02D8E" w:rsidRDefault="00F02D8E"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Se identifican 5 pasos mediante los cuales las empresas incorporan los ODS en sus estrategias:</w:t>
      </w:r>
    </w:p>
    <w:p w14:paraId="4EF94FCC" w14:textId="15E8D62E" w:rsidR="00F02D8E" w:rsidRDefault="00F02D8E"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Pr="00F02D8E">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 xml:space="preserve">Entendiendo los ODS: </w:t>
      </w:r>
      <w:r>
        <w:rPr>
          <w:rFonts w:ascii="Times New Roman" w:hAnsi="Times New Roman" w:cs="Times New Roman"/>
          <w:sz w:val="24"/>
          <w:szCs w:val="24"/>
        </w:rPr>
        <w:t>las empresas tienen que conocer los ODS, sus objetivos y metas y relacionar su estrategia de negocios con dichos objetivos.</w:t>
      </w:r>
    </w:p>
    <w:p w14:paraId="206D5AE9" w14:textId="23379CF7" w:rsidR="00F02D8E" w:rsidRDefault="00F02D8E"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t>2.</w:t>
      </w:r>
      <w:r>
        <w:rPr>
          <w:rFonts w:ascii="Times New Roman" w:hAnsi="Times New Roman" w:cs="Times New Roman"/>
          <w:sz w:val="24"/>
          <w:szCs w:val="24"/>
        </w:rPr>
        <w:t xml:space="preserve"> </w:t>
      </w:r>
      <w:r w:rsidRPr="00F02D8E">
        <w:rPr>
          <w:rFonts w:ascii="Times New Roman" w:hAnsi="Times New Roman" w:cs="Times New Roman"/>
          <w:b/>
          <w:sz w:val="24"/>
          <w:szCs w:val="24"/>
        </w:rPr>
        <w:t>Definiendo prioridades:</w:t>
      </w:r>
      <w:r>
        <w:rPr>
          <w:rFonts w:ascii="Times New Roman" w:hAnsi="Times New Roman" w:cs="Times New Roman"/>
          <w:sz w:val="24"/>
          <w:szCs w:val="24"/>
        </w:rPr>
        <w:t xml:space="preserve"> las empresas tienen que identificar cuáles son los ODS prioritarios para su empresa teniendo en cuenta sus actividades económicas, los impactos económicos, sociales y ambientales que genera, analizando toda su cadena de valor.</w:t>
      </w:r>
    </w:p>
    <w:p w14:paraId="278D8620" w14:textId="1D9D96B6" w:rsidR="00F02D8E" w:rsidRDefault="00F02D8E"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r>
      <w:r w:rsidRPr="00F02D8E">
        <w:rPr>
          <w:rFonts w:ascii="Times New Roman" w:hAnsi="Times New Roman" w:cs="Times New Roman"/>
          <w:b/>
          <w:sz w:val="24"/>
          <w:szCs w:val="24"/>
        </w:rPr>
        <w:t xml:space="preserve">3. Estableciendo objetivos: </w:t>
      </w:r>
      <w:r>
        <w:rPr>
          <w:rFonts w:ascii="Times New Roman" w:hAnsi="Times New Roman" w:cs="Times New Roman"/>
          <w:sz w:val="24"/>
          <w:szCs w:val="24"/>
        </w:rPr>
        <w:t>para cada uno de los ODS priorizados, las empresas tienen que definir los objetivos de cambio a ser alcanzados al año 2030, y establecer sus líneas de base, y sus indicadores de desempeño sustentable a utilizar, para medir en cada período económico los avances logrados en su desempeño sustentable.</w:t>
      </w:r>
    </w:p>
    <w:p w14:paraId="41AB95CA" w14:textId="2D948268" w:rsidR="00F02D8E" w:rsidRDefault="00F02D8E"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t>4.</w:t>
      </w:r>
      <w:r>
        <w:rPr>
          <w:rFonts w:ascii="Times New Roman" w:hAnsi="Times New Roman" w:cs="Times New Roman"/>
          <w:sz w:val="24"/>
          <w:szCs w:val="24"/>
        </w:rPr>
        <w:t xml:space="preserve"> </w:t>
      </w:r>
      <w:r w:rsidRPr="00F02D8E">
        <w:rPr>
          <w:rFonts w:ascii="Times New Roman" w:hAnsi="Times New Roman" w:cs="Times New Roman"/>
          <w:b/>
          <w:sz w:val="24"/>
          <w:szCs w:val="24"/>
        </w:rPr>
        <w:t xml:space="preserve">Integrando: </w:t>
      </w:r>
      <w:r>
        <w:rPr>
          <w:rFonts w:ascii="Times New Roman" w:hAnsi="Times New Roman" w:cs="Times New Roman"/>
          <w:sz w:val="24"/>
          <w:szCs w:val="24"/>
        </w:rPr>
        <w:t>las dimensiones de la sustentabilidad en cada área del negocio, en la cultura empresarial. Para identificar las oportunidades de creación de valor compartido, para incorporar normativa, principios y buenas prácticas para el negocio, e incrementar la colaboración de las partes interesadas (Pacto Global de las Naciones Unidas y KPMG</w:t>
      </w:r>
      <w:r w:rsidR="003F0F02">
        <w:rPr>
          <w:rFonts w:ascii="Times New Roman" w:hAnsi="Times New Roman" w:cs="Times New Roman"/>
          <w:sz w:val="24"/>
          <w:szCs w:val="24"/>
        </w:rPr>
        <w:t xml:space="preserve">, </w:t>
      </w:r>
      <w:r>
        <w:rPr>
          <w:rFonts w:ascii="Times New Roman" w:hAnsi="Times New Roman" w:cs="Times New Roman"/>
          <w:sz w:val="24"/>
          <w:szCs w:val="24"/>
        </w:rPr>
        <w:t>201</w:t>
      </w:r>
      <w:r w:rsidR="003F0F02">
        <w:rPr>
          <w:rFonts w:ascii="Times New Roman" w:hAnsi="Times New Roman" w:cs="Times New Roman"/>
          <w:sz w:val="24"/>
          <w:szCs w:val="24"/>
        </w:rPr>
        <w:t>6)</w:t>
      </w:r>
      <w:r w:rsidR="00C05A80">
        <w:rPr>
          <w:rFonts w:ascii="Times New Roman" w:hAnsi="Times New Roman" w:cs="Times New Roman"/>
          <w:sz w:val="24"/>
          <w:szCs w:val="24"/>
        </w:rPr>
        <w:t>.</w:t>
      </w:r>
    </w:p>
    <w:p w14:paraId="355B99E3" w14:textId="2E6A6F37" w:rsidR="00C05A80" w:rsidRDefault="00C05A80" w:rsidP="00326F50">
      <w:pPr>
        <w:spacing w:after="12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t>5.</w:t>
      </w:r>
      <w:r>
        <w:rPr>
          <w:rFonts w:ascii="Times New Roman" w:hAnsi="Times New Roman" w:cs="Times New Roman"/>
          <w:sz w:val="24"/>
          <w:szCs w:val="24"/>
        </w:rPr>
        <w:t xml:space="preserve"> </w:t>
      </w:r>
      <w:r w:rsidRPr="00C05A80">
        <w:rPr>
          <w:rFonts w:ascii="Times New Roman" w:hAnsi="Times New Roman" w:cs="Times New Roman"/>
          <w:b/>
          <w:sz w:val="24"/>
          <w:szCs w:val="24"/>
        </w:rPr>
        <w:t>Reportando y comunicando:</w:t>
      </w:r>
      <w:r>
        <w:rPr>
          <w:rFonts w:ascii="Times New Roman" w:hAnsi="Times New Roman" w:cs="Times New Roman"/>
          <w:sz w:val="24"/>
          <w:szCs w:val="24"/>
        </w:rPr>
        <w:t xml:space="preserve"> las empresas tienen que divulgar los resultados obtenidos de la medición de sus avances, a través de la información de sustentabilidad útil para la toma de decisiones de cada una de las partes interesadas, en reportes de sustentabilidad confeccionados a través de metodologías reconocidas globalmente. </w:t>
      </w:r>
    </w:p>
    <w:p w14:paraId="44396799" w14:textId="457FC38A" w:rsidR="00C05A80" w:rsidRPr="00C05A80" w:rsidRDefault="00C05A80" w:rsidP="00200903">
      <w:pPr>
        <w:spacing w:after="12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r>
      <w:r w:rsidR="00944E8D">
        <w:rPr>
          <w:rFonts w:ascii="Times New Roman" w:hAnsi="Times New Roman" w:cs="Times New Roman"/>
          <w:sz w:val="24"/>
          <w:szCs w:val="24"/>
        </w:rPr>
        <w:t xml:space="preserve">El enfoque de SDG </w:t>
      </w:r>
      <w:proofErr w:type="spellStart"/>
      <w:r w:rsidR="00944E8D">
        <w:rPr>
          <w:rFonts w:ascii="Times New Roman" w:hAnsi="Times New Roman" w:cs="Times New Roman"/>
          <w:sz w:val="24"/>
          <w:szCs w:val="24"/>
        </w:rPr>
        <w:t>Compass</w:t>
      </w:r>
      <w:proofErr w:type="spellEnd"/>
      <w:r w:rsidR="00944E8D">
        <w:rPr>
          <w:rFonts w:ascii="Times New Roman" w:hAnsi="Times New Roman" w:cs="Times New Roman"/>
          <w:sz w:val="24"/>
          <w:szCs w:val="24"/>
        </w:rPr>
        <w:t xml:space="preserve"> se</w:t>
      </w:r>
      <w:r w:rsidR="00200903">
        <w:rPr>
          <w:rFonts w:ascii="Times New Roman" w:hAnsi="Times New Roman" w:cs="Times New Roman"/>
          <w:sz w:val="24"/>
          <w:szCs w:val="24"/>
        </w:rPr>
        <w:t xml:space="preserve"> dirige a las grandes empresas </w:t>
      </w:r>
      <w:r w:rsidR="00944E8D">
        <w:rPr>
          <w:rFonts w:ascii="Times New Roman" w:hAnsi="Times New Roman" w:cs="Times New Roman"/>
          <w:sz w:val="24"/>
          <w:szCs w:val="24"/>
        </w:rPr>
        <w:t>multinacionales. Sin embargo, también anima a las pequeñas y medianas empresas, así como a otras organizaciones, a utilizarlo como fuente de inspiración u adaptarlo según convenga. Asimismo, aunque esté concebido para ser usado a nivel de entidad, puede aplicarse a un producto, sitio, división, o región, según corresponda. (Remacho,2017).</w:t>
      </w:r>
    </w:p>
    <w:p w14:paraId="25453D40" w14:textId="77777777" w:rsidR="00E1553D" w:rsidRPr="005A1005" w:rsidRDefault="00E1553D" w:rsidP="00E12267">
      <w:pPr>
        <w:spacing w:after="240" w:line="360" w:lineRule="auto"/>
        <w:ind w:left="720" w:hanging="720"/>
        <w:jc w:val="both"/>
        <w:rPr>
          <w:rFonts w:ascii="Times New Roman" w:hAnsi="Times New Roman" w:cs="Times New Roman"/>
          <w:b/>
          <w:i/>
          <w:sz w:val="24"/>
          <w:szCs w:val="24"/>
        </w:rPr>
      </w:pPr>
    </w:p>
    <w:p w14:paraId="0DB76050" w14:textId="462EF69F" w:rsidR="00E12267" w:rsidRDefault="00C05A80" w:rsidP="00C05A80">
      <w:pPr>
        <w:spacing w:after="240" w:line="360" w:lineRule="auto"/>
        <w:jc w:val="both"/>
        <w:rPr>
          <w:rFonts w:ascii="Times New Roman" w:hAnsi="Times New Roman" w:cs="Times New Roman"/>
          <w:b/>
          <w:i/>
          <w:sz w:val="24"/>
          <w:szCs w:val="24"/>
        </w:rPr>
      </w:pPr>
      <w:r>
        <w:rPr>
          <w:rFonts w:ascii="Times New Roman" w:hAnsi="Times New Roman" w:cs="Times New Roman"/>
          <w:b/>
          <w:i/>
          <w:sz w:val="24"/>
          <w:szCs w:val="24"/>
        </w:rPr>
        <w:t>El ODS 6: Garantizar la disponibilidad y la gestión sostenible del agua y el saneamiento para todos.</w:t>
      </w:r>
    </w:p>
    <w:p w14:paraId="12B811F9" w14:textId="339BEB9E" w:rsidR="00F2040E" w:rsidRDefault="00BF046E" w:rsidP="00BF046E">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Si bien se ha conseguido un notable progreso a la hora de ampliar el acceso al agua potable y saneamiento, aún existen miles de millones de personas (sustancialmente en áreas rurales), que carecen de estos servicios básicos. A nivel mundial, una</w:t>
      </w:r>
      <w:r w:rsidR="00340C54">
        <w:rPr>
          <w:rFonts w:ascii="Times New Roman" w:hAnsi="Times New Roman" w:cs="Times New Roman"/>
          <w:sz w:val="24"/>
          <w:szCs w:val="24"/>
        </w:rPr>
        <w:t>,</w:t>
      </w:r>
      <w:r>
        <w:rPr>
          <w:rFonts w:ascii="Times New Roman" w:hAnsi="Times New Roman" w:cs="Times New Roman"/>
          <w:sz w:val="24"/>
          <w:szCs w:val="24"/>
        </w:rPr>
        <w:t xml:space="preserve"> de cada tres personas no poseen acceso a agua potable salubre, dos de cada cinco personas no cuenta de instalaciones básicas para lavado de manos con agua y jabón, y aproximadamente 673 millones de personas defecan al aire libre (Naciones Unidas, 2022). </w:t>
      </w:r>
    </w:p>
    <w:p w14:paraId="3F17ED67" w14:textId="7241A77E" w:rsidR="00BF046E" w:rsidRDefault="00BF046E" w:rsidP="00BF046E">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Las siguientes son las metas del objetivo 6 (Naciones Unidas 2022, p.1)</w:t>
      </w:r>
    </w:p>
    <w:p w14:paraId="0C49D2FD" w14:textId="7F6C8CDE" w:rsidR="00BF046E" w:rsidRPr="00BF046E" w:rsidRDefault="00BF046E" w:rsidP="00BF046E">
      <w:pPr>
        <w:spacing w:after="12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BF046E">
        <w:rPr>
          <w:rFonts w:ascii="Times New Roman" w:hAnsi="Times New Roman" w:cs="Times New Roman"/>
          <w:sz w:val="24"/>
          <w:szCs w:val="24"/>
        </w:rPr>
        <w:tab/>
      </w:r>
      <w:r w:rsidRPr="00BF046E">
        <w:rPr>
          <w:rFonts w:ascii="Times New Roman" w:eastAsia="Times New Roman" w:hAnsi="Times New Roman" w:cs="Times New Roman"/>
          <w:b/>
          <w:bCs/>
          <w:color w:val="4D4D4D"/>
          <w:sz w:val="24"/>
          <w:szCs w:val="24"/>
        </w:rPr>
        <w:t>6.1</w:t>
      </w:r>
      <w:r w:rsidRPr="00BF046E">
        <w:rPr>
          <w:rFonts w:ascii="Times New Roman" w:eastAsia="Times New Roman" w:hAnsi="Times New Roman" w:cs="Times New Roman"/>
          <w:color w:val="4D4D4D"/>
          <w:sz w:val="24"/>
          <w:szCs w:val="24"/>
          <w:shd w:val="clear" w:color="auto" w:fill="FFFFFF"/>
        </w:rPr>
        <w:t xml:space="preserve"> De aquí a 2030, lograr el acceso universal y equitativo al agua </w:t>
      </w:r>
      <w:r>
        <w:rPr>
          <w:rFonts w:ascii="Times New Roman" w:eastAsia="Times New Roman" w:hAnsi="Times New Roman" w:cs="Times New Roman"/>
          <w:color w:val="4D4D4D"/>
          <w:sz w:val="24"/>
          <w:szCs w:val="24"/>
          <w:shd w:val="clear" w:color="auto" w:fill="FFFFFF"/>
        </w:rPr>
        <w:tab/>
      </w:r>
      <w:r>
        <w:rPr>
          <w:rFonts w:ascii="Times New Roman" w:eastAsia="Times New Roman" w:hAnsi="Times New Roman" w:cs="Times New Roman"/>
          <w:color w:val="4D4D4D"/>
          <w:sz w:val="24"/>
          <w:szCs w:val="24"/>
          <w:shd w:val="clear" w:color="auto" w:fill="FFFFFF"/>
        </w:rPr>
        <w:tab/>
      </w:r>
      <w:r>
        <w:rPr>
          <w:rFonts w:ascii="Times New Roman" w:eastAsia="Times New Roman" w:hAnsi="Times New Roman" w:cs="Times New Roman"/>
          <w:color w:val="4D4D4D"/>
          <w:sz w:val="24"/>
          <w:szCs w:val="24"/>
          <w:shd w:val="clear" w:color="auto" w:fill="FFFFFF"/>
        </w:rPr>
        <w:tab/>
      </w:r>
      <w:r w:rsidRPr="00BF046E">
        <w:rPr>
          <w:rFonts w:ascii="Times New Roman" w:eastAsia="Times New Roman" w:hAnsi="Times New Roman" w:cs="Times New Roman"/>
          <w:color w:val="4D4D4D"/>
          <w:sz w:val="24"/>
          <w:szCs w:val="24"/>
          <w:shd w:val="clear" w:color="auto" w:fill="FFFFFF"/>
        </w:rPr>
        <w:t>potable a un precio asequible para todos</w:t>
      </w:r>
    </w:p>
    <w:p w14:paraId="072FDEC6" w14:textId="4F2C34CC" w:rsidR="00BF046E" w:rsidRPr="00BF046E" w:rsidRDefault="00BF046E" w:rsidP="00BF046E">
      <w:pPr>
        <w:spacing w:after="120" w:line="360" w:lineRule="auto"/>
        <w:jc w:val="both"/>
        <w:rPr>
          <w:rFonts w:ascii="Times New Roman" w:eastAsia="Times New Roman" w:hAnsi="Times New Roman" w:cs="Times New Roman"/>
          <w:color w:val="4D4D4D"/>
          <w:sz w:val="24"/>
          <w:szCs w:val="24"/>
        </w:rPr>
      </w:pPr>
      <w:r>
        <w:rPr>
          <w:rFonts w:ascii="Times New Roman" w:eastAsia="Times New Roman" w:hAnsi="Times New Roman" w:cs="Times New Roman"/>
          <w:b/>
          <w:bCs/>
          <w:color w:val="4D4D4D"/>
          <w:sz w:val="24"/>
          <w:szCs w:val="24"/>
        </w:rPr>
        <w:tab/>
      </w:r>
      <w:r>
        <w:rPr>
          <w:rFonts w:ascii="Times New Roman" w:eastAsia="Times New Roman" w:hAnsi="Times New Roman" w:cs="Times New Roman"/>
          <w:b/>
          <w:bCs/>
          <w:color w:val="4D4D4D"/>
          <w:sz w:val="24"/>
          <w:szCs w:val="24"/>
        </w:rPr>
        <w:tab/>
      </w:r>
      <w:r w:rsidRPr="00BF046E">
        <w:rPr>
          <w:rFonts w:ascii="Times New Roman" w:eastAsia="Times New Roman" w:hAnsi="Times New Roman" w:cs="Times New Roman"/>
          <w:b/>
          <w:bCs/>
          <w:color w:val="4D4D4D"/>
          <w:sz w:val="24"/>
          <w:szCs w:val="24"/>
        </w:rPr>
        <w:t>6.2</w:t>
      </w:r>
      <w:r w:rsidRPr="00BF046E">
        <w:rPr>
          <w:rFonts w:ascii="Times New Roman" w:eastAsia="Times New Roman" w:hAnsi="Times New Roman" w:cs="Times New Roman"/>
          <w:color w:val="4D4D4D"/>
          <w:sz w:val="24"/>
          <w:szCs w:val="24"/>
        </w:rPr>
        <w:t xml:space="preserve"> De aquí a 2030, lograr el acceso a servicios de saneamiento e higiene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Pr="00BF046E">
        <w:rPr>
          <w:rFonts w:ascii="Times New Roman" w:eastAsia="Times New Roman" w:hAnsi="Times New Roman" w:cs="Times New Roman"/>
          <w:color w:val="4D4D4D"/>
          <w:sz w:val="24"/>
          <w:szCs w:val="24"/>
        </w:rPr>
        <w:t>adecuados</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y</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equitativos para</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todos </w:t>
      </w:r>
      <w:r w:rsidR="00D71E68" w:rsidRPr="00BF046E">
        <w:rPr>
          <w:rFonts w:ascii="Times New Roman" w:eastAsia="Times New Roman" w:hAnsi="Times New Roman" w:cs="Times New Roman"/>
          <w:color w:val="4D4D4D"/>
          <w:sz w:val="24"/>
          <w:szCs w:val="24"/>
        </w:rPr>
        <w:t>y</w:t>
      </w:r>
      <w:r w:rsidR="00D71E68">
        <w:rPr>
          <w:rFonts w:ascii="Times New Roman" w:eastAsia="Times New Roman" w:hAnsi="Times New Roman" w:cs="Times New Roman"/>
          <w:color w:val="4D4D4D"/>
          <w:sz w:val="24"/>
          <w:szCs w:val="24"/>
        </w:rPr>
        <w:t xml:space="preserve"> </w:t>
      </w:r>
      <w:r w:rsidR="00D71E68" w:rsidRPr="00BF046E">
        <w:rPr>
          <w:rFonts w:ascii="Times New Roman" w:eastAsia="Times New Roman" w:hAnsi="Times New Roman" w:cs="Times New Roman"/>
          <w:color w:val="4D4D4D"/>
          <w:sz w:val="24"/>
          <w:szCs w:val="24"/>
        </w:rPr>
        <w:t>poner</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fin a la defecación</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al aire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Pr="00BF046E">
        <w:rPr>
          <w:rFonts w:ascii="Times New Roman" w:eastAsia="Times New Roman" w:hAnsi="Times New Roman" w:cs="Times New Roman"/>
          <w:color w:val="4D4D4D"/>
          <w:sz w:val="24"/>
          <w:szCs w:val="24"/>
        </w:rPr>
        <w:t xml:space="preserve">libre, prestando especial atención a las necesidades de las mujeres y las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Pr="00BF046E">
        <w:rPr>
          <w:rFonts w:ascii="Times New Roman" w:eastAsia="Times New Roman" w:hAnsi="Times New Roman" w:cs="Times New Roman"/>
          <w:color w:val="4D4D4D"/>
          <w:sz w:val="24"/>
          <w:szCs w:val="24"/>
        </w:rPr>
        <w:t>niñas y las personas en situaciones de vulnerabilidad</w:t>
      </w:r>
    </w:p>
    <w:p w14:paraId="52820182" w14:textId="1C9B9DDD" w:rsidR="00BF046E" w:rsidRPr="00BF046E" w:rsidRDefault="00BF046E" w:rsidP="00BF046E">
      <w:pPr>
        <w:spacing w:after="120" w:line="360" w:lineRule="auto"/>
        <w:jc w:val="both"/>
        <w:rPr>
          <w:rFonts w:ascii="Times New Roman" w:eastAsia="Times New Roman" w:hAnsi="Times New Roman" w:cs="Times New Roman"/>
          <w:color w:val="4D4D4D"/>
          <w:sz w:val="24"/>
          <w:szCs w:val="24"/>
        </w:rPr>
      </w:pPr>
      <w:r>
        <w:rPr>
          <w:rFonts w:ascii="Times New Roman" w:eastAsia="Times New Roman" w:hAnsi="Times New Roman" w:cs="Times New Roman"/>
          <w:b/>
          <w:bCs/>
          <w:color w:val="4D4D4D"/>
          <w:sz w:val="24"/>
          <w:szCs w:val="24"/>
        </w:rPr>
        <w:tab/>
      </w:r>
      <w:r>
        <w:rPr>
          <w:rFonts w:ascii="Times New Roman" w:eastAsia="Times New Roman" w:hAnsi="Times New Roman" w:cs="Times New Roman"/>
          <w:b/>
          <w:bCs/>
          <w:color w:val="4D4D4D"/>
          <w:sz w:val="24"/>
          <w:szCs w:val="24"/>
        </w:rPr>
        <w:tab/>
      </w:r>
      <w:r w:rsidRPr="00BF046E">
        <w:rPr>
          <w:rFonts w:ascii="Times New Roman" w:eastAsia="Times New Roman" w:hAnsi="Times New Roman" w:cs="Times New Roman"/>
          <w:b/>
          <w:bCs/>
          <w:color w:val="4D4D4D"/>
          <w:sz w:val="24"/>
          <w:szCs w:val="24"/>
        </w:rPr>
        <w:t>6.3</w:t>
      </w:r>
      <w:r w:rsidRPr="00BF046E">
        <w:rPr>
          <w:rFonts w:ascii="Times New Roman" w:eastAsia="Times New Roman" w:hAnsi="Times New Roman" w:cs="Times New Roman"/>
          <w:color w:val="4D4D4D"/>
          <w:sz w:val="24"/>
          <w:szCs w:val="24"/>
        </w:rPr>
        <w:t> De</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aquí</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a</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2030,</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mejorar</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la</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calidad </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del</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agua</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reduciendo</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la </w:t>
      </w:r>
      <w:r>
        <w:rPr>
          <w:rFonts w:ascii="Times New Roman" w:eastAsia="Times New Roman" w:hAnsi="Times New Roman" w:cs="Times New Roman"/>
          <w:color w:val="4D4D4D"/>
          <w:sz w:val="24"/>
          <w:szCs w:val="24"/>
        </w:rPr>
        <w:tab/>
      </w:r>
      <w:r w:rsidR="00F50B9E">
        <w:rPr>
          <w:rFonts w:ascii="Times New Roman" w:eastAsia="Times New Roman" w:hAnsi="Times New Roman" w:cs="Times New Roman"/>
          <w:color w:val="4D4D4D"/>
          <w:sz w:val="24"/>
          <w:szCs w:val="24"/>
        </w:rPr>
        <w:tab/>
      </w:r>
      <w:r w:rsidRPr="00BF046E">
        <w:rPr>
          <w:rFonts w:ascii="Times New Roman" w:eastAsia="Times New Roman" w:hAnsi="Times New Roman" w:cs="Times New Roman"/>
          <w:color w:val="4D4D4D"/>
          <w:sz w:val="24"/>
          <w:szCs w:val="24"/>
        </w:rPr>
        <w:t xml:space="preserve">contaminación, eliminando el vertimiento y minimizando la emisión de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Pr="00BF046E">
        <w:rPr>
          <w:rFonts w:ascii="Times New Roman" w:eastAsia="Times New Roman" w:hAnsi="Times New Roman" w:cs="Times New Roman"/>
          <w:color w:val="4D4D4D"/>
          <w:sz w:val="24"/>
          <w:szCs w:val="24"/>
        </w:rPr>
        <w:t>productos químicos y materiales</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peligrosos, reduciendo</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a</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la</w:t>
      </w:r>
      <w:r w:rsidR="00F50B9E">
        <w:rPr>
          <w:rFonts w:ascii="Times New Roman" w:eastAsia="Times New Roman" w:hAnsi="Times New Roman" w:cs="Times New Roman"/>
          <w:color w:val="4D4D4D"/>
          <w:sz w:val="24"/>
          <w:szCs w:val="24"/>
        </w:rPr>
        <w:t xml:space="preserve"> </w:t>
      </w:r>
      <w:r w:rsidRPr="00BF046E">
        <w:rPr>
          <w:rFonts w:ascii="Times New Roman" w:eastAsia="Times New Roman" w:hAnsi="Times New Roman" w:cs="Times New Roman"/>
          <w:color w:val="4D4D4D"/>
          <w:sz w:val="24"/>
          <w:szCs w:val="24"/>
        </w:rPr>
        <w:t xml:space="preserve"> mitad el </w:t>
      </w:r>
      <w:r w:rsidR="00F50B9E">
        <w:rPr>
          <w:rFonts w:ascii="Times New Roman" w:eastAsia="Times New Roman" w:hAnsi="Times New Roman" w:cs="Times New Roman"/>
          <w:color w:val="4D4D4D"/>
          <w:sz w:val="24"/>
          <w:szCs w:val="24"/>
        </w:rPr>
        <w:tab/>
      </w:r>
      <w:r w:rsidR="00F50B9E">
        <w:rPr>
          <w:rFonts w:ascii="Times New Roman" w:eastAsia="Times New Roman" w:hAnsi="Times New Roman" w:cs="Times New Roman"/>
          <w:color w:val="4D4D4D"/>
          <w:sz w:val="24"/>
          <w:szCs w:val="24"/>
        </w:rPr>
        <w:tab/>
      </w:r>
      <w:r w:rsidRPr="00BF046E">
        <w:rPr>
          <w:rFonts w:ascii="Times New Roman" w:eastAsia="Times New Roman" w:hAnsi="Times New Roman" w:cs="Times New Roman"/>
          <w:color w:val="4D4D4D"/>
          <w:sz w:val="24"/>
          <w:szCs w:val="24"/>
        </w:rPr>
        <w:t xml:space="preserve">porcentaje de aguas residuales sin tratar y aumentando considerablemente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Pr="00BF046E">
        <w:rPr>
          <w:rFonts w:ascii="Times New Roman" w:eastAsia="Times New Roman" w:hAnsi="Times New Roman" w:cs="Times New Roman"/>
          <w:color w:val="4D4D4D"/>
          <w:sz w:val="24"/>
          <w:szCs w:val="24"/>
        </w:rPr>
        <w:t>el reciclado y la reutilización sin riesgos a nivel mundial</w:t>
      </w:r>
    </w:p>
    <w:p w14:paraId="6080BF2D" w14:textId="3528468D" w:rsidR="00BF046E" w:rsidRPr="00BF046E" w:rsidRDefault="00F50B9E" w:rsidP="00BF046E">
      <w:pPr>
        <w:spacing w:after="120" w:line="360" w:lineRule="auto"/>
        <w:jc w:val="both"/>
        <w:rPr>
          <w:rFonts w:ascii="Times New Roman" w:eastAsia="Times New Roman" w:hAnsi="Times New Roman" w:cs="Times New Roman"/>
          <w:color w:val="4D4D4D"/>
          <w:sz w:val="24"/>
          <w:szCs w:val="24"/>
        </w:rPr>
      </w:pPr>
      <w:r>
        <w:rPr>
          <w:rFonts w:ascii="Times New Roman" w:eastAsia="Times New Roman" w:hAnsi="Times New Roman" w:cs="Times New Roman"/>
          <w:b/>
          <w:bCs/>
          <w:color w:val="4D4D4D"/>
          <w:sz w:val="24"/>
          <w:szCs w:val="24"/>
        </w:rPr>
        <w:tab/>
      </w:r>
      <w:r>
        <w:rPr>
          <w:rFonts w:ascii="Times New Roman" w:eastAsia="Times New Roman" w:hAnsi="Times New Roman" w:cs="Times New Roman"/>
          <w:b/>
          <w:bCs/>
          <w:color w:val="4D4D4D"/>
          <w:sz w:val="24"/>
          <w:szCs w:val="24"/>
        </w:rPr>
        <w:tab/>
      </w:r>
      <w:r w:rsidR="00BF046E" w:rsidRPr="00BF046E">
        <w:rPr>
          <w:rFonts w:ascii="Times New Roman" w:eastAsia="Times New Roman" w:hAnsi="Times New Roman" w:cs="Times New Roman"/>
          <w:b/>
          <w:bCs/>
          <w:color w:val="4D4D4D"/>
          <w:sz w:val="24"/>
          <w:szCs w:val="24"/>
        </w:rPr>
        <w:t>6.4</w:t>
      </w:r>
      <w:r w:rsidR="00BF046E" w:rsidRPr="00BF046E">
        <w:rPr>
          <w:rFonts w:ascii="Times New Roman" w:eastAsia="Times New Roman" w:hAnsi="Times New Roman" w:cs="Times New Roman"/>
          <w:color w:val="4D4D4D"/>
          <w:sz w:val="24"/>
          <w:szCs w:val="24"/>
        </w:rPr>
        <w:t>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De aquí a 2030, aumentar considerablemente el uso eficiente de los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 xml:space="preserve">recursos hídricos en todos los sectores y asegurar la sostenibilidad de la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 xml:space="preserve">extracción y el abastecimiento de agua dulce para hacer frente a la escasez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 xml:space="preserve">de agua y reducir considerablemente el número de personas que sufren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falta de agua</w:t>
      </w:r>
    </w:p>
    <w:p w14:paraId="46331137" w14:textId="31AEFBC1" w:rsidR="00BF046E" w:rsidRPr="00BF046E" w:rsidRDefault="00F50B9E" w:rsidP="00F50B9E">
      <w:pPr>
        <w:spacing w:after="120" w:line="360" w:lineRule="auto"/>
        <w:rPr>
          <w:rFonts w:ascii="Times New Roman" w:eastAsia="Times New Roman" w:hAnsi="Times New Roman" w:cs="Times New Roman"/>
          <w:color w:val="4D4D4D"/>
          <w:sz w:val="24"/>
          <w:szCs w:val="24"/>
        </w:rPr>
      </w:pPr>
      <w:r>
        <w:rPr>
          <w:rFonts w:ascii="Times New Roman" w:eastAsia="Times New Roman" w:hAnsi="Times New Roman" w:cs="Times New Roman"/>
          <w:b/>
          <w:bCs/>
          <w:color w:val="4D4D4D"/>
          <w:sz w:val="24"/>
          <w:szCs w:val="24"/>
        </w:rPr>
        <w:tab/>
      </w:r>
      <w:r>
        <w:rPr>
          <w:rFonts w:ascii="Times New Roman" w:eastAsia="Times New Roman" w:hAnsi="Times New Roman" w:cs="Times New Roman"/>
          <w:b/>
          <w:bCs/>
          <w:color w:val="4D4D4D"/>
          <w:sz w:val="24"/>
          <w:szCs w:val="24"/>
        </w:rPr>
        <w:tab/>
      </w:r>
      <w:r w:rsidR="00BF046E" w:rsidRPr="00BF046E">
        <w:rPr>
          <w:rFonts w:ascii="Times New Roman" w:eastAsia="Times New Roman" w:hAnsi="Times New Roman" w:cs="Times New Roman"/>
          <w:b/>
          <w:bCs/>
          <w:color w:val="4D4D4D"/>
          <w:sz w:val="24"/>
          <w:szCs w:val="24"/>
        </w:rPr>
        <w:t>6.5</w:t>
      </w:r>
      <w:r w:rsidR="00BF046E" w:rsidRPr="00BF046E">
        <w:rPr>
          <w:rFonts w:ascii="Times New Roman" w:eastAsia="Times New Roman" w:hAnsi="Times New Roman" w:cs="Times New Roman"/>
          <w:color w:val="4D4D4D"/>
          <w:sz w:val="24"/>
          <w:szCs w:val="24"/>
        </w:rPr>
        <w:t>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De aquí a 2030, implementar </w:t>
      </w:r>
      <w:proofErr w:type="gramStart"/>
      <w:r w:rsidR="00BF046E" w:rsidRPr="00BF046E">
        <w:rPr>
          <w:rFonts w:ascii="Times New Roman" w:eastAsia="Times New Roman" w:hAnsi="Times New Roman" w:cs="Times New Roman"/>
          <w:color w:val="4D4D4D"/>
          <w:sz w:val="24"/>
          <w:szCs w:val="24"/>
        </w:rPr>
        <w:t>la</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gestión</w:t>
      </w:r>
      <w:proofErr w:type="gramEnd"/>
      <w:r w:rsidR="00BF046E" w:rsidRPr="00BF046E">
        <w:rPr>
          <w:rFonts w:ascii="Times New Roman" w:eastAsia="Times New Roman" w:hAnsi="Times New Roman" w:cs="Times New Roman"/>
          <w:color w:val="4D4D4D"/>
          <w:sz w:val="24"/>
          <w:szCs w:val="24"/>
        </w:rPr>
        <w:t xml:space="preserve">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integrada</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de</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los</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recursos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hídricos</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a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todos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los</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niveles, incluso</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mediante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la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cooperación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transfronteriza, según proceda</w:t>
      </w:r>
    </w:p>
    <w:p w14:paraId="30284C17" w14:textId="4D8CD728" w:rsidR="00BF046E" w:rsidRPr="00BF046E" w:rsidRDefault="00F50B9E" w:rsidP="00BF046E">
      <w:pPr>
        <w:spacing w:after="120" w:line="360" w:lineRule="auto"/>
        <w:jc w:val="both"/>
        <w:rPr>
          <w:rFonts w:ascii="Times New Roman" w:eastAsia="Times New Roman" w:hAnsi="Times New Roman" w:cs="Times New Roman"/>
          <w:color w:val="4D4D4D"/>
          <w:sz w:val="24"/>
          <w:szCs w:val="24"/>
        </w:rPr>
      </w:pPr>
      <w:r>
        <w:rPr>
          <w:rFonts w:ascii="Times New Roman" w:eastAsia="Times New Roman" w:hAnsi="Times New Roman" w:cs="Times New Roman"/>
          <w:b/>
          <w:bCs/>
          <w:color w:val="4D4D4D"/>
          <w:sz w:val="24"/>
          <w:szCs w:val="24"/>
        </w:rPr>
        <w:lastRenderedPageBreak/>
        <w:tab/>
      </w:r>
      <w:r>
        <w:rPr>
          <w:rFonts w:ascii="Times New Roman" w:eastAsia="Times New Roman" w:hAnsi="Times New Roman" w:cs="Times New Roman"/>
          <w:b/>
          <w:bCs/>
          <w:color w:val="4D4D4D"/>
          <w:sz w:val="24"/>
          <w:szCs w:val="24"/>
        </w:rPr>
        <w:tab/>
      </w:r>
      <w:r w:rsidR="00BF046E" w:rsidRPr="00BF046E">
        <w:rPr>
          <w:rFonts w:ascii="Times New Roman" w:eastAsia="Times New Roman" w:hAnsi="Times New Roman" w:cs="Times New Roman"/>
          <w:b/>
          <w:bCs/>
          <w:color w:val="4D4D4D"/>
          <w:sz w:val="24"/>
          <w:szCs w:val="24"/>
        </w:rPr>
        <w:t>6.6</w:t>
      </w:r>
      <w:r w:rsidR="00BF046E" w:rsidRPr="00BF046E">
        <w:rPr>
          <w:rFonts w:ascii="Times New Roman" w:eastAsia="Times New Roman" w:hAnsi="Times New Roman" w:cs="Times New Roman"/>
          <w:color w:val="4D4D4D"/>
          <w:sz w:val="24"/>
          <w:szCs w:val="24"/>
        </w:rPr>
        <w:t>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De aquí a 20</w:t>
      </w:r>
      <w:r>
        <w:rPr>
          <w:rFonts w:ascii="Times New Roman" w:eastAsia="Times New Roman" w:hAnsi="Times New Roman" w:cs="Times New Roman"/>
          <w:color w:val="4D4D4D"/>
          <w:sz w:val="24"/>
          <w:szCs w:val="24"/>
        </w:rPr>
        <w:t>3</w:t>
      </w:r>
      <w:r w:rsidR="00BF046E" w:rsidRPr="00BF046E">
        <w:rPr>
          <w:rFonts w:ascii="Times New Roman" w:eastAsia="Times New Roman" w:hAnsi="Times New Roman" w:cs="Times New Roman"/>
          <w:color w:val="4D4D4D"/>
          <w:sz w:val="24"/>
          <w:szCs w:val="24"/>
        </w:rPr>
        <w:t xml:space="preserve">0, proteger y restablecer los ecosistemas relacionados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 xml:space="preserve">con el agua, incluidos los bosques, las montañas, los humedales, los ríos,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los acuíferos y los lagos</w:t>
      </w:r>
    </w:p>
    <w:p w14:paraId="14FBD16B" w14:textId="6400C7DA" w:rsidR="00BF046E" w:rsidRPr="00BF046E" w:rsidRDefault="00F50B9E" w:rsidP="00B761BE">
      <w:pPr>
        <w:spacing w:after="120" w:line="360" w:lineRule="auto"/>
        <w:jc w:val="both"/>
        <w:rPr>
          <w:rFonts w:ascii="Times New Roman" w:eastAsia="Times New Roman" w:hAnsi="Times New Roman" w:cs="Times New Roman"/>
          <w:color w:val="4D4D4D"/>
          <w:sz w:val="24"/>
          <w:szCs w:val="24"/>
        </w:rPr>
      </w:pPr>
      <w:r>
        <w:rPr>
          <w:rFonts w:ascii="Times New Roman" w:eastAsia="Times New Roman" w:hAnsi="Times New Roman" w:cs="Times New Roman"/>
          <w:b/>
          <w:bCs/>
          <w:color w:val="4D4D4D"/>
          <w:sz w:val="24"/>
          <w:szCs w:val="24"/>
        </w:rPr>
        <w:tab/>
      </w:r>
      <w:r>
        <w:rPr>
          <w:rFonts w:ascii="Times New Roman" w:eastAsia="Times New Roman" w:hAnsi="Times New Roman" w:cs="Times New Roman"/>
          <w:b/>
          <w:bCs/>
          <w:color w:val="4D4D4D"/>
          <w:sz w:val="24"/>
          <w:szCs w:val="24"/>
        </w:rPr>
        <w:tab/>
      </w:r>
      <w:r w:rsidR="00BF046E" w:rsidRPr="00BF046E">
        <w:rPr>
          <w:rFonts w:ascii="Times New Roman" w:eastAsia="Times New Roman" w:hAnsi="Times New Roman" w:cs="Times New Roman"/>
          <w:b/>
          <w:bCs/>
          <w:color w:val="4D4D4D"/>
          <w:sz w:val="24"/>
          <w:szCs w:val="24"/>
        </w:rPr>
        <w:t>6.a</w:t>
      </w:r>
      <w:r w:rsidR="00BF046E" w:rsidRPr="00BF046E">
        <w:rPr>
          <w:rFonts w:ascii="Times New Roman" w:eastAsia="Times New Roman" w:hAnsi="Times New Roman" w:cs="Times New Roman"/>
          <w:color w:val="4D4D4D"/>
          <w:sz w:val="24"/>
          <w:szCs w:val="24"/>
        </w:rPr>
        <w:t>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De aquí a 2030, ampliar</w:t>
      </w:r>
      <w:r>
        <w:rPr>
          <w:rFonts w:ascii="Times New Roman" w:eastAsia="Times New Roman" w:hAnsi="Times New Roman" w:cs="Times New Roman"/>
          <w:color w:val="4D4D4D"/>
          <w:sz w:val="24"/>
          <w:szCs w:val="24"/>
        </w:rPr>
        <w:t xml:space="preserve"> </w:t>
      </w:r>
      <w:proofErr w:type="gramStart"/>
      <w:r w:rsidR="00BF046E" w:rsidRPr="00BF046E">
        <w:rPr>
          <w:rFonts w:ascii="Times New Roman" w:eastAsia="Times New Roman" w:hAnsi="Times New Roman" w:cs="Times New Roman"/>
          <w:color w:val="4D4D4D"/>
          <w:sz w:val="24"/>
          <w:szCs w:val="24"/>
        </w:rPr>
        <w:t>la</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cooperación</w:t>
      </w:r>
      <w:proofErr w:type="gramEnd"/>
      <w:r w:rsidR="00BF046E" w:rsidRPr="00BF046E">
        <w:rPr>
          <w:rFonts w:ascii="Times New Roman" w:eastAsia="Times New Roman" w:hAnsi="Times New Roman" w:cs="Times New Roman"/>
          <w:color w:val="4D4D4D"/>
          <w:sz w:val="24"/>
          <w:szCs w:val="24"/>
        </w:rPr>
        <w:t xml:space="preserve"> internacional y el apoyo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761BE">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 xml:space="preserve">prestado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a</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los</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países</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en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desarrollo</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para</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la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creación</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de capacidad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en</w:t>
      </w:r>
      <w:r>
        <w:rPr>
          <w:rFonts w:ascii="Times New Roman" w:eastAsia="Times New Roman" w:hAnsi="Times New Roman" w:cs="Times New Roman"/>
          <w:color w:val="4D4D4D"/>
          <w:sz w:val="24"/>
          <w:szCs w:val="24"/>
        </w:rPr>
        <w:t xml:space="preserve">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actividades</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y</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programas </w:t>
      </w:r>
      <w:r w:rsidR="00B761BE">
        <w:rPr>
          <w:rFonts w:ascii="Times New Roman" w:eastAsia="Times New Roman" w:hAnsi="Times New Roman" w:cs="Times New Roman"/>
          <w:color w:val="4D4D4D"/>
          <w:sz w:val="24"/>
          <w:szCs w:val="24"/>
        </w:rPr>
        <w:t xml:space="preserve">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relativos</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al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agua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y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el</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saneamiento,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 xml:space="preserve">como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los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de</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captación</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de</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agua, desalinización,</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uso</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eficiente</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de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los</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recursos</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hídricos, tratamiento </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de</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aguas</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residuales,</w:t>
      </w:r>
      <w:r w:rsidR="00B761BE">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 reciclado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761BE">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y tecnologías de reutilización</w:t>
      </w:r>
    </w:p>
    <w:p w14:paraId="1B9DBF27" w14:textId="57F662E3" w:rsidR="00BF046E" w:rsidRDefault="00F50B9E" w:rsidP="00F50B9E">
      <w:pPr>
        <w:spacing w:after="120" w:line="360" w:lineRule="auto"/>
        <w:rPr>
          <w:rFonts w:ascii="Times New Roman" w:eastAsia="Times New Roman" w:hAnsi="Times New Roman" w:cs="Times New Roman"/>
          <w:color w:val="4D4D4D"/>
          <w:sz w:val="24"/>
          <w:szCs w:val="24"/>
        </w:rPr>
      </w:pPr>
      <w:r>
        <w:rPr>
          <w:rFonts w:ascii="Times New Roman" w:eastAsia="Times New Roman" w:hAnsi="Times New Roman" w:cs="Times New Roman"/>
          <w:b/>
          <w:bCs/>
          <w:color w:val="4D4D4D"/>
          <w:sz w:val="24"/>
          <w:szCs w:val="24"/>
        </w:rPr>
        <w:tab/>
      </w:r>
      <w:r>
        <w:rPr>
          <w:rFonts w:ascii="Times New Roman" w:eastAsia="Times New Roman" w:hAnsi="Times New Roman" w:cs="Times New Roman"/>
          <w:b/>
          <w:bCs/>
          <w:color w:val="4D4D4D"/>
          <w:sz w:val="24"/>
          <w:szCs w:val="24"/>
        </w:rPr>
        <w:tab/>
      </w:r>
      <w:r w:rsidR="00BF046E" w:rsidRPr="00BF046E">
        <w:rPr>
          <w:rFonts w:ascii="Times New Roman" w:eastAsia="Times New Roman" w:hAnsi="Times New Roman" w:cs="Times New Roman"/>
          <w:b/>
          <w:bCs/>
          <w:color w:val="4D4D4D"/>
          <w:sz w:val="24"/>
          <w:szCs w:val="24"/>
        </w:rPr>
        <w:t>6.b</w:t>
      </w:r>
      <w:r w:rsidR="00BF046E" w:rsidRPr="00BF046E">
        <w:rPr>
          <w:rFonts w:ascii="Times New Roman" w:eastAsia="Times New Roman" w:hAnsi="Times New Roman" w:cs="Times New Roman"/>
          <w:color w:val="4D4D4D"/>
          <w:sz w:val="24"/>
          <w:szCs w:val="24"/>
        </w:rPr>
        <w:t>  </w:t>
      </w:r>
      <w:r>
        <w:rPr>
          <w:rFonts w:ascii="Times New Roman" w:eastAsia="Times New Roman" w:hAnsi="Times New Roman" w:cs="Times New Roman"/>
          <w:color w:val="4D4D4D"/>
          <w:sz w:val="24"/>
          <w:szCs w:val="24"/>
        </w:rPr>
        <w:t xml:space="preserve"> </w:t>
      </w:r>
      <w:r w:rsidR="00BF046E" w:rsidRPr="00BF046E">
        <w:rPr>
          <w:rFonts w:ascii="Times New Roman" w:eastAsia="Times New Roman" w:hAnsi="Times New Roman" w:cs="Times New Roman"/>
          <w:color w:val="4D4D4D"/>
          <w:sz w:val="24"/>
          <w:szCs w:val="24"/>
        </w:rPr>
        <w:t xml:space="preserve">Apoyar y fortalecer la participación de las comunidades locales en </w:t>
      </w:r>
      <w:r>
        <w:rPr>
          <w:rFonts w:ascii="Times New Roman" w:eastAsia="Times New Roman" w:hAnsi="Times New Roman" w:cs="Times New Roman"/>
          <w:color w:val="4D4D4D"/>
          <w:sz w:val="24"/>
          <w:szCs w:val="24"/>
        </w:rPr>
        <w:tab/>
      </w:r>
      <w:r>
        <w:rPr>
          <w:rFonts w:ascii="Times New Roman" w:eastAsia="Times New Roman" w:hAnsi="Times New Roman" w:cs="Times New Roman"/>
          <w:color w:val="4D4D4D"/>
          <w:sz w:val="24"/>
          <w:szCs w:val="24"/>
        </w:rPr>
        <w:tab/>
      </w:r>
      <w:r w:rsidR="00BF046E" w:rsidRPr="00BF046E">
        <w:rPr>
          <w:rFonts w:ascii="Times New Roman" w:eastAsia="Times New Roman" w:hAnsi="Times New Roman" w:cs="Times New Roman"/>
          <w:color w:val="4D4D4D"/>
          <w:sz w:val="24"/>
          <w:szCs w:val="24"/>
        </w:rPr>
        <w:t>la mejora de la gestión del agua y el saneamiento</w:t>
      </w:r>
      <w:r w:rsidR="00340C54">
        <w:rPr>
          <w:rFonts w:ascii="Times New Roman" w:eastAsia="Times New Roman" w:hAnsi="Times New Roman" w:cs="Times New Roman"/>
          <w:color w:val="4D4D4D"/>
          <w:sz w:val="24"/>
          <w:szCs w:val="24"/>
        </w:rPr>
        <w:t>.</w:t>
      </w:r>
    </w:p>
    <w:p w14:paraId="454A6042" w14:textId="77777777" w:rsidR="000D194F" w:rsidRDefault="000D194F" w:rsidP="00F50B9E">
      <w:pPr>
        <w:spacing w:after="120" w:line="360" w:lineRule="auto"/>
        <w:rPr>
          <w:rFonts w:ascii="Times New Roman" w:eastAsia="Times New Roman" w:hAnsi="Times New Roman" w:cs="Times New Roman"/>
          <w:b/>
          <w:i/>
          <w:color w:val="4D4D4D"/>
          <w:sz w:val="24"/>
          <w:szCs w:val="24"/>
        </w:rPr>
      </w:pPr>
    </w:p>
    <w:p w14:paraId="223C7768" w14:textId="0AB7B93F" w:rsidR="00340C54" w:rsidRPr="00BF046E" w:rsidRDefault="000D194F" w:rsidP="00F50B9E">
      <w:pPr>
        <w:spacing w:after="120" w:line="360" w:lineRule="auto"/>
        <w:rPr>
          <w:rFonts w:ascii="Times New Roman" w:eastAsia="Times New Roman" w:hAnsi="Times New Roman" w:cs="Times New Roman"/>
          <w:b/>
          <w:i/>
          <w:color w:val="4D4D4D"/>
          <w:sz w:val="24"/>
          <w:szCs w:val="24"/>
        </w:rPr>
      </w:pPr>
      <w:r w:rsidRPr="000D194F">
        <w:rPr>
          <w:rFonts w:ascii="Times New Roman" w:eastAsia="Times New Roman" w:hAnsi="Times New Roman" w:cs="Times New Roman"/>
          <w:b/>
          <w:i/>
          <w:color w:val="4D4D4D"/>
          <w:sz w:val="24"/>
          <w:szCs w:val="24"/>
        </w:rPr>
        <w:t xml:space="preserve">Las </w:t>
      </w:r>
      <w:r>
        <w:rPr>
          <w:rFonts w:ascii="Times New Roman" w:eastAsia="Times New Roman" w:hAnsi="Times New Roman" w:cs="Times New Roman"/>
          <w:b/>
          <w:i/>
          <w:color w:val="4D4D4D"/>
          <w:sz w:val="24"/>
          <w:szCs w:val="24"/>
        </w:rPr>
        <w:t>empresas ante el ODS 6</w:t>
      </w:r>
    </w:p>
    <w:p w14:paraId="5BC380C3" w14:textId="7105118A" w:rsidR="00BF046E" w:rsidRPr="00BF046E" w:rsidRDefault="0022165D" w:rsidP="00BF046E">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Las empresa</w:t>
      </w:r>
      <w:r w:rsidR="001711E4">
        <w:rPr>
          <w:rFonts w:ascii="Times New Roman" w:hAnsi="Times New Roman" w:cs="Times New Roman"/>
          <w:sz w:val="24"/>
          <w:szCs w:val="24"/>
        </w:rPr>
        <w:t>s</w:t>
      </w:r>
      <w:r>
        <w:rPr>
          <w:rFonts w:ascii="Times New Roman" w:hAnsi="Times New Roman" w:cs="Times New Roman"/>
          <w:sz w:val="24"/>
          <w:szCs w:val="24"/>
        </w:rPr>
        <w:t xml:space="preserve"> juegan un rol clave en la gestión sostenible de los </w:t>
      </w:r>
      <w:r>
        <w:rPr>
          <w:rFonts w:ascii="Times New Roman" w:hAnsi="Times New Roman" w:cs="Times New Roman"/>
          <w:sz w:val="24"/>
          <w:szCs w:val="24"/>
        </w:rPr>
        <w:tab/>
        <w:t xml:space="preserve">recursos hídricos en la elaboración de sus productos y servicios, </w:t>
      </w:r>
      <w:r>
        <w:rPr>
          <w:rFonts w:ascii="Times New Roman" w:hAnsi="Times New Roman" w:cs="Times New Roman"/>
          <w:sz w:val="24"/>
          <w:szCs w:val="24"/>
        </w:rPr>
        <w:tab/>
        <w:t>fomentando y facilitando la mejora d</w:t>
      </w:r>
      <w:r w:rsidR="00017DF3">
        <w:rPr>
          <w:rFonts w:ascii="Times New Roman" w:hAnsi="Times New Roman" w:cs="Times New Roman"/>
          <w:sz w:val="24"/>
          <w:szCs w:val="24"/>
        </w:rPr>
        <w:t>e</w:t>
      </w:r>
      <w:r>
        <w:rPr>
          <w:rFonts w:ascii="Times New Roman" w:hAnsi="Times New Roman" w:cs="Times New Roman"/>
          <w:sz w:val="24"/>
          <w:szCs w:val="24"/>
        </w:rPr>
        <w:t xml:space="preserve"> la gestión del agua en su cadena de </w:t>
      </w:r>
      <w:r>
        <w:rPr>
          <w:rFonts w:ascii="Times New Roman" w:hAnsi="Times New Roman" w:cs="Times New Roman"/>
          <w:sz w:val="24"/>
          <w:szCs w:val="24"/>
        </w:rPr>
        <w:tab/>
        <w:t xml:space="preserve">valor y transformando en sostenibles aquellas de sus operaciones que </w:t>
      </w:r>
      <w:r>
        <w:rPr>
          <w:rFonts w:ascii="Times New Roman" w:hAnsi="Times New Roman" w:cs="Times New Roman"/>
          <w:sz w:val="24"/>
          <w:szCs w:val="24"/>
        </w:rPr>
        <w:tab/>
        <w:t xml:space="preserve">generan contaminación de los recursos hídricos (Pacto Mundial- Red </w:t>
      </w:r>
      <w:r>
        <w:rPr>
          <w:rFonts w:ascii="Times New Roman" w:hAnsi="Times New Roman" w:cs="Times New Roman"/>
          <w:sz w:val="24"/>
          <w:szCs w:val="24"/>
        </w:rPr>
        <w:tab/>
      </w:r>
      <w:proofErr w:type="gramStart"/>
      <w:r>
        <w:rPr>
          <w:rFonts w:ascii="Times New Roman" w:hAnsi="Times New Roman" w:cs="Times New Roman"/>
          <w:sz w:val="24"/>
          <w:szCs w:val="24"/>
        </w:rPr>
        <w:t>Española</w:t>
      </w:r>
      <w:proofErr w:type="gramEnd"/>
      <w:r w:rsidR="0047154C">
        <w:rPr>
          <w:rFonts w:ascii="Times New Roman" w:hAnsi="Times New Roman" w:cs="Times New Roman"/>
          <w:sz w:val="24"/>
          <w:szCs w:val="24"/>
        </w:rPr>
        <w:t>,</w:t>
      </w:r>
      <w:r>
        <w:rPr>
          <w:rFonts w:ascii="Times New Roman" w:hAnsi="Times New Roman" w:cs="Times New Roman"/>
          <w:sz w:val="24"/>
          <w:szCs w:val="24"/>
        </w:rPr>
        <w:t xml:space="preserve"> 2016, p.25). </w:t>
      </w:r>
    </w:p>
    <w:p w14:paraId="7CECD88C" w14:textId="77777777" w:rsidR="00822CFE" w:rsidRDefault="0047154C" w:rsidP="00822CFE">
      <w:pPr>
        <w:spacing w:after="120" w:line="36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Hay determinadas empresas cuyo núcleo de negocio está más directamente ligado </w:t>
      </w:r>
      <w:r>
        <w:rPr>
          <w:rFonts w:ascii="Times New Roman" w:hAnsi="Times New Roman" w:cs="Times New Roman"/>
          <w:sz w:val="24"/>
          <w:szCs w:val="24"/>
        </w:rPr>
        <w:tab/>
        <w:t xml:space="preserve">a este objetivo, como las del sector químico o las del sector agroalimentario. No </w:t>
      </w:r>
      <w:r>
        <w:rPr>
          <w:rFonts w:ascii="Times New Roman" w:hAnsi="Times New Roman" w:cs="Times New Roman"/>
          <w:sz w:val="24"/>
          <w:szCs w:val="24"/>
        </w:rPr>
        <w:tab/>
        <w:t xml:space="preserve">obstante, todas las empresas, sin importar el sector en el que operen pueden tomar </w:t>
      </w:r>
      <w:r>
        <w:rPr>
          <w:rFonts w:ascii="Times New Roman" w:hAnsi="Times New Roman" w:cs="Times New Roman"/>
          <w:sz w:val="24"/>
          <w:szCs w:val="24"/>
        </w:rPr>
        <w:tab/>
        <w:t>medidas tendientes a contribuir a este ODS.</w:t>
      </w:r>
      <w:r w:rsidR="00822CFE">
        <w:rPr>
          <w:rFonts w:ascii="Times New Roman" w:hAnsi="Times New Roman" w:cs="Times New Roman"/>
          <w:sz w:val="24"/>
          <w:szCs w:val="24"/>
        </w:rPr>
        <w:t xml:space="preserve">  </w:t>
      </w:r>
    </w:p>
    <w:p w14:paraId="6AAA2CB7" w14:textId="253C7D41" w:rsidR="0047154C" w:rsidRDefault="00822CFE" w:rsidP="00822CF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47154C">
        <w:rPr>
          <w:rFonts w:ascii="Times New Roman" w:hAnsi="Times New Roman" w:cs="Times New Roman"/>
          <w:sz w:val="24"/>
          <w:szCs w:val="24"/>
        </w:rPr>
        <w:t xml:space="preserve">Las contribuciones pueden clasificarse según el ámbito en el que se desarrollan </w:t>
      </w:r>
      <w:r>
        <w:rPr>
          <w:rFonts w:ascii="Times New Roman" w:hAnsi="Times New Roman" w:cs="Times New Roman"/>
          <w:sz w:val="24"/>
          <w:szCs w:val="24"/>
        </w:rPr>
        <w:tab/>
      </w:r>
      <w:r w:rsidR="0047154C">
        <w:rPr>
          <w:rFonts w:ascii="Times New Roman" w:hAnsi="Times New Roman" w:cs="Times New Roman"/>
          <w:sz w:val="24"/>
          <w:szCs w:val="24"/>
        </w:rPr>
        <w:t xml:space="preserve">de la siguiente forma: (Pacto Mundial-Red Española, 2022 (p. </w:t>
      </w:r>
      <w:r>
        <w:rPr>
          <w:rFonts w:ascii="Times New Roman" w:hAnsi="Times New Roman" w:cs="Times New Roman"/>
          <w:sz w:val="24"/>
          <w:szCs w:val="24"/>
        </w:rPr>
        <w:t>3):</w:t>
      </w:r>
    </w:p>
    <w:p w14:paraId="75A90E72" w14:textId="4649B51C" w:rsidR="00822CFE" w:rsidRDefault="00822CFE" w:rsidP="00822CFE">
      <w:p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Ámbito interno: </w:t>
      </w:r>
    </w:p>
    <w:p w14:paraId="14B5D255" w14:textId="2CC651B7" w:rsidR="00822CFE" w:rsidRPr="00822CFE" w:rsidRDefault="00822CFE" w:rsidP="00822CFE">
      <w:pPr>
        <w:pStyle w:val="Prrafodelista"/>
        <w:numPr>
          <w:ilvl w:val="0"/>
          <w:numId w:val="13"/>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Integrando la gestión del agua como una cuestión clave dentro de la estrategia de negocio.</w:t>
      </w:r>
    </w:p>
    <w:p w14:paraId="4F39A2C2" w14:textId="65933D50" w:rsidR="00822CFE" w:rsidRPr="00822CFE" w:rsidRDefault="00822CFE" w:rsidP="00822CFE">
      <w:pPr>
        <w:pStyle w:val="Prrafodelista"/>
        <w:numPr>
          <w:ilvl w:val="0"/>
          <w:numId w:val="13"/>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 xml:space="preserve">Estableciendo y comprometiéndose públicamente con los objetivos de reducción del consumo hídrico basados en el contexto, lo que significa </w:t>
      </w:r>
      <w:r>
        <w:rPr>
          <w:rFonts w:ascii="Times New Roman" w:hAnsi="Times New Roman" w:cs="Times New Roman"/>
          <w:sz w:val="24"/>
          <w:szCs w:val="24"/>
        </w:rPr>
        <w:lastRenderedPageBreak/>
        <w:t>alinear los objetivos de reducción del consumo de agua con las necesidades de comunidades locales y ecosistemas.</w:t>
      </w:r>
    </w:p>
    <w:p w14:paraId="5CA416C1" w14:textId="2C0F79FF" w:rsidR="00822CFE" w:rsidRPr="00822CFE" w:rsidRDefault="00822CFE" w:rsidP="00822CFE">
      <w:pPr>
        <w:pStyle w:val="Prrafodelista"/>
        <w:numPr>
          <w:ilvl w:val="0"/>
          <w:numId w:val="13"/>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Implantando sistemas de gestión ambiental certificados.</w:t>
      </w:r>
    </w:p>
    <w:p w14:paraId="1C7575B7" w14:textId="2AA650E5" w:rsidR="00822CFE" w:rsidRPr="00D368CC" w:rsidRDefault="00D368CC" w:rsidP="00822CFE">
      <w:pPr>
        <w:pStyle w:val="Prrafodelista"/>
        <w:numPr>
          <w:ilvl w:val="0"/>
          <w:numId w:val="13"/>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Mejorando la calidad de los vertidos de aguas residuales y reduciendo el uso de materiales y productos químicos peligrosos en las operaciones de la empresa, para minimizar el impacto medioambiental.</w:t>
      </w:r>
    </w:p>
    <w:p w14:paraId="497A31E4" w14:textId="74A4767C" w:rsidR="00D368CC" w:rsidRPr="00D368CC" w:rsidRDefault="00D368CC" w:rsidP="00822CFE">
      <w:pPr>
        <w:pStyle w:val="Prrafodelista"/>
        <w:numPr>
          <w:ilvl w:val="0"/>
          <w:numId w:val="13"/>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Invirtiendo en tecnologías que mejoren la sustentabilidad de la extracción y el abastecimiento de agua dulce, los servicios de saneamiento e higiene o la calidad del agua.</w:t>
      </w:r>
    </w:p>
    <w:p w14:paraId="646260AA" w14:textId="211B83A0" w:rsidR="00D368CC" w:rsidRPr="00D368CC" w:rsidRDefault="00D368CC" w:rsidP="00822CFE">
      <w:pPr>
        <w:pStyle w:val="Prrafodelista"/>
        <w:numPr>
          <w:ilvl w:val="0"/>
          <w:numId w:val="13"/>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Proporcionando condiciones laborales dignas a los proveedores en países con legislaciones débiles, asegurándose de que los trabajadores cuenten con sistemas de agua potable y saneamiento en las instalaciones y un sueldo suficiente, que les permita a ellos y su familia adquirir agua potable y productos de higiene.</w:t>
      </w:r>
    </w:p>
    <w:p w14:paraId="37954C52" w14:textId="7C40A507" w:rsidR="00D368CC" w:rsidRDefault="00B71049" w:rsidP="00D368CC">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Ámbito externo </w:t>
      </w:r>
    </w:p>
    <w:p w14:paraId="5707EFCF" w14:textId="738E36C1" w:rsidR="00B71049" w:rsidRPr="00C13142" w:rsidRDefault="00C13142" w:rsidP="00C13142">
      <w:pPr>
        <w:pStyle w:val="Prrafodelista"/>
        <w:numPr>
          <w:ilvl w:val="0"/>
          <w:numId w:val="14"/>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Calculando la huella hídrica: cuánta agua es necesaria para producir un producto o prestar un servicio y estableciendo objetivos de reducción.</w:t>
      </w:r>
    </w:p>
    <w:p w14:paraId="31D77410" w14:textId="27FEAE0A" w:rsidR="00C13142" w:rsidRPr="00C13142" w:rsidRDefault="00C13142" w:rsidP="00C13142">
      <w:pPr>
        <w:pStyle w:val="Prrafodelista"/>
        <w:numPr>
          <w:ilvl w:val="0"/>
          <w:numId w:val="14"/>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Realizando una gestión sostenible del agua en las operaciones y fábricas de la empresa, con una política estricta de consumo y reutilización del agua.</w:t>
      </w:r>
    </w:p>
    <w:p w14:paraId="70677851" w14:textId="055CB7A6" w:rsidR="00C13142" w:rsidRPr="00C13142" w:rsidRDefault="00C13142" w:rsidP="00C13142">
      <w:pPr>
        <w:pStyle w:val="Prrafodelista"/>
        <w:numPr>
          <w:ilvl w:val="0"/>
          <w:numId w:val="14"/>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Asegurando que los trabajadores tengan acceso a agua potable y a espacios apropiados para la higiene personal en las instalaciones.</w:t>
      </w:r>
    </w:p>
    <w:p w14:paraId="50FDFC1F" w14:textId="1570A463" w:rsidR="00C13142" w:rsidRPr="00C13142" w:rsidRDefault="00C13142" w:rsidP="00C13142">
      <w:pPr>
        <w:pStyle w:val="Prrafodelista"/>
        <w:numPr>
          <w:ilvl w:val="0"/>
          <w:numId w:val="14"/>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Invirtiendo en tecnologías que mejoren a corto y largo plazo la gestión sostenible del agua.</w:t>
      </w:r>
    </w:p>
    <w:p w14:paraId="1D5F1460" w14:textId="134E9668" w:rsidR="00C13142" w:rsidRPr="00C13142" w:rsidRDefault="00C13142" w:rsidP="00C13142">
      <w:pPr>
        <w:pStyle w:val="Prrafodelista"/>
        <w:numPr>
          <w:ilvl w:val="0"/>
          <w:numId w:val="14"/>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Tomando medidas para impulsar una mejor gestión del agua a través de todo el ciclo de vida de los productos.</w:t>
      </w:r>
    </w:p>
    <w:p w14:paraId="48ECBF04" w14:textId="735EC415" w:rsidR="00C13142" w:rsidRPr="00C13142" w:rsidRDefault="00C13142" w:rsidP="00C13142">
      <w:pPr>
        <w:pStyle w:val="Prrafodelista"/>
        <w:numPr>
          <w:ilvl w:val="0"/>
          <w:numId w:val="14"/>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Desarrollando tecnologías para ahorrar, recuperar y reutilizar agua.</w:t>
      </w:r>
    </w:p>
    <w:p w14:paraId="1595430E" w14:textId="1A85DCD4" w:rsidR="00C13142" w:rsidRPr="00C13142" w:rsidRDefault="00C13142" w:rsidP="00C13142">
      <w:pPr>
        <w:pStyle w:val="Prrafodelista"/>
        <w:numPr>
          <w:ilvl w:val="0"/>
          <w:numId w:val="14"/>
        </w:num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Fomentando una mejor disponibilidad de productos destinados a la higiene personal a bajo coste, especialmente dirigidos a personas en situación de vulnerabilidad.</w:t>
      </w:r>
    </w:p>
    <w:p w14:paraId="675E2996" w14:textId="4C215E9D" w:rsidR="00B71049" w:rsidRDefault="00684D06" w:rsidP="00684D06">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684D06">
        <w:rPr>
          <w:rFonts w:ascii="Times New Roman" w:hAnsi="Times New Roman" w:cs="Times New Roman"/>
          <w:sz w:val="24"/>
          <w:szCs w:val="24"/>
        </w:rPr>
        <w:t xml:space="preserve">Las </w:t>
      </w:r>
      <w:r>
        <w:rPr>
          <w:rFonts w:ascii="Times New Roman" w:hAnsi="Times New Roman" w:cs="Times New Roman"/>
          <w:sz w:val="24"/>
          <w:szCs w:val="24"/>
        </w:rPr>
        <w:t xml:space="preserve">empresas cuentan con la guía SDG Compass (Global Reporting Initiative et </w:t>
      </w:r>
      <w:r>
        <w:rPr>
          <w:rFonts w:ascii="Times New Roman" w:hAnsi="Times New Roman" w:cs="Times New Roman"/>
          <w:sz w:val="24"/>
          <w:szCs w:val="24"/>
        </w:rPr>
        <w:tab/>
        <w:t xml:space="preserve">al, 2015), con indicadores específicos para que las mismas puedan comprobar los </w:t>
      </w:r>
      <w:r>
        <w:rPr>
          <w:rFonts w:ascii="Times New Roman" w:hAnsi="Times New Roman" w:cs="Times New Roman"/>
          <w:sz w:val="24"/>
          <w:szCs w:val="24"/>
        </w:rPr>
        <w:lastRenderedPageBreak/>
        <w:tab/>
        <w:t xml:space="preserve">avances en sus contribuciones a los diferentes Objetivos de Desarrollo Sostenible. </w:t>
      </w:r>
      <w:r>
        <w:rPr>
          <w:rFonts w:ascii="Times New Roman" w:hAnsi="Times New Roman" w:cs="Times New Roman"/>
          <w:sz w:val="24"/>
          <w:szCs w:val="24"/>
        </w:rPr>
        <w:tab/>
        <w:t>Así pueden mencionarse los siguientes:</w:t>
      </w:r>
    </w:p>
    <w:p w14:paraId="373779C4" w14:textId="24E728BB" w:rsidR="00684D06" w:rsidRDefault="00684D06" w:rsidP="00684D06">
      <w:pPr>
        <w:pStyle w:val="Prrafode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Porcentaje de empleados que reciben información en materia de higiene.</w:t>
      </w:r>
    </w:p>
    <w:p w14:paraId="53124DD9" w14:textId="2B7E6E1E" w:rsidR="00684D06" w:rsidRDefault="00684D06" w:rsidP="00684D06">
      <w:pPr>
        <w:pStyle w:val="Prrafode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Porcentaje y volumen de agua reciclada y reutilizada.</w:t>
      </w:r>
    </w:p>
    <w:p w14:paraId="2C534539" w14:textId="3C3432AD" w:rsidR="00684D06" w:rsidRDefault="00684D06" w:rsidP="00684D06">
      <w:pPr>
        <w:pStyle w:val="Prrafode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Cálculo de la huella hídrica de productos y servicios.</w:t>
      </w:r>
    </w:p>
    <w:p w14:paraId="3988DC75" w14:textId="5B6BEA72" w:rsidR="00684D06" w:rsidRDefault="00684D06" w:rsidP="00684D06">
      <w:pPr>
        <w:pStyle w:val="Prrafode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Porcentaje de instalaciones adheridas a estándares de calidad del agua.</w:t>
      </w:r>
    </w:p>
    <w:p w14:paraId="560E0DCD" w14:textId="6F5E113E" w:rsidR="00684D06" w:rsidRPr="00684D06" w:rsidRDefault="00684D06" w:rsidP="00684D06">
      <w:pPr>
        <w:pStyle w:val="Prrafode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Grado de reducción de los impactos ambientales en los productos y servicios.</w:t>
      </w:r>
    </w:p>
    <w:p w14:paraId="29103D07" w14:textId="77777777" w:rsidR="00666647" w:rsidRDefault="00666647" w:rsidP="00666647">
      <w:pPr>
        <w:spacing w:after="120" w:line="360" w:lineRule="auto"/>
        <w:jc w:val="both"/>
        <w:rPr>
          <w:rFonts w:ascii="Times New Roman" w:hAnsi="Times New Roman" w:cs="Times New Roman"/>
          <w:b/>
          <w:sz w:val="24"/>
          <w:szCs w:val="24"/>
        </w:rPr>
      </w:pPr>
    </w:p>
    <w:p w14:paraId="38A4635E" w14:textId="78C1A620" w:rsidR="007B5EDF" w:rsidRPr="00F102F1" w:rsidRDefault="007B5EDF" w:rsidP="00666647">
      <w:pPr>
        <w:spacing w:after="120" w:line="360" w:lineRule="auto"/>
        <w:jc w:val="both"/>
        <w:rPr>
          <w:rFonts w:ascii="Times New Roman" w:eastAsia="Trebuchet MS" w:hAnsi="Times New Roman" w:cs="Times New Roman"/>
          <w:b/>
          <w:w w:val="90"/>
          <w:sz w:val="24"/>
          <w:szCs w:val="24"/>
          <w:lang w:val="es-ES"/>
        </w:rPr>
      </w:pPr>
      <w:r w:rsidRPr="00F102F1">
        <w:rPr>
          <w:rFonts w:ascii="Times New Roman" w:eastAsia="Trebuchet MS" w:hAnsi="Times New Roman" w:cs="Times New Roman"/>
          <w:b/>
          <w:w w:val="90"/>
          <w:sz w:val="24"/>
          <w:szCs w:val="24"/>
          <w:lang w:val="es-ES"/>
        </w:rPr>
        <w:t>Metodología</w:t>
      </w:r>
    </w:p>
    <w:p w14:paraId="380F0CDE" w14:textId="7C8337A3" w:rsidR="00F102F1" w:rsidRPr="00F102F1" w:rsidRDefault="00F102F1" w:rsidP="00F102F1">
      <w:pPr>
        <w:spacing w:after="120" w:line="360" w:lineRule="auto"/>
        <w:ind w:left="720" w:hanging="720"/>
        <w:jc w:val="both"/>
        <w:rPr>
          <w:rFonts w:ascii="Times New Roman" w:hAnsi="Times New Roman" w:cs="Times New Roman"/>
          <w:sz w:val="24"/>
          <w:szCs w:val="24"/>
        </w:rPr>
      </w:pPr>
      <w:r w:rsidRPr="00F102F1">
        <w:rPr>
          <w:rFonts w:ascii="Times New Roman" w:eastAsia="Trebuchet MS" w:hAnsi="Times New Roman" w:cs="Times New Roman"/>
          <w:w w:val="90"/>
          <w:sz w:val="24"/>
          <w:szCs w:val="24"/>
          <w:lang w:val="es-ES"/>
        </w:rPr>
        <w:t xml:space="preserve">El enfoque general de la presente investigación se basa, en una primera instancia, en la revisión del marco conceptual existente en relación a la temática abordada, recurriendo a métodos de análisis del discurso, con el objetivo de construir el lugar de los comunicadores de información. Para ello se ha analizado bibliografía </w:t>
      </w:r>
      <w:r>
        <w:rPr>
          <w:rFonts w:ascii="Times New Roman" w:eastAsia="Trebuchet MS" w:hAnsi="Times New Roman" w:cs="Times New Roman"/>
          <w:w w:val="90"/>
          <w:sz w:val="24"/>
          <w:szCs w:val="24"/>
          <w:lang w:val="es-ES"/>
        </w:rPr>
        <w:t>tanto nacional como internacional de relevancia, recurriendo a fuentes primarias (libros, publicaciones periódicas de reconocimiento internacional, trabajos de investigación), tal como puede observarse en la sección Referencias bibliográficas. Posteriormente, se llevó a cabo una investigación de carácter empírico, desarrollándose estudios orientados a descubrir elementos no conocidos y / o probar las hipótesis. Se recurrió al estudio de casos individuales para la identificación de situaciones de similares características a fin de aproximar a un análisis comparativo que revele hallazgos, específicamente sobre el eje central del trabajo que radica en garantizar la disponibilidad de agua y su gestión sustentable y el saneamiento para todos. Para ello se han seleccionado Reportes de Sustentabilidad por el ejercicio económico finalizado el 31 de diciembre de 2021 (últimos disponibles a la fecha de la presente investigación)</w:t>
      </w:r>
      <w:r w:rsidR="0011167B">
        <w:rPr>
          <w:rFonts w:ascii="Times New Roman" w:eastAsia="Trebuchet MS" w:hAnsi="Times New Roman" w:cs="Times New Roman"/>
          <w:w w:val="90"/>
          <w:sz w:val="24"/>
          <w:szCs w:val="24"/>
          <w:lang w:val="es-ES"/>
        </w:rPr>
        <w:t>, correspondientes a empresas que tienen acceso al mercado de capitales en Argentina, y se desempeñan en diferentes e importantes sectores de la economía, con claro liderazgo en su segmento de negocio</w:t>
      </w:r>
      <w:r w:rsidR="002D2F79">
        <w:rPr>
          <w:rFonts w:ascii="Times New Roman" w:eastAsia="Trebuchet MS" w:hAnsi="Times New Roman" w:cs="Times New Roman"/>
          <w:w w:val="90"/>
          <w:sz w:val="24"/>
          <w:szCs w:val="24"/>
          <w:lang w:val="es-ES"/>
        </w:rPr>
        <w:t>, en tanto los mismos sean preparados bajo los lineamientos de la Global Reporting Initiative.</w:t>
      </w:r>
    </w:p>
    <w:p w14:paraId="411CAB62" w14:textId="366E4ABD" w:rsidR="00CC0727" w:rsidRPr="00CC0727" w:rsidRDefault="002D2F79" w:rsidP="007B5EDF">
      <w:pPr>
        <w:widowControl w:val="0"/>
        <w:tabs>
          <w:tab w:val="left" w:pos="721"/>
        </w:tabs>
        <w:autoSpaceDE w:val="0"/>
        <w:autoSpaceDN w:val="0"/>
        <w:spacing w:line="360" w:lineRule="auto"/>
        <w:ind w:left="720" w:hanging="720"/>
        <w:jc w:val="both"/>
        <w:rPr>
          <w:rFonts w:ascii="Times New Roman" w:eastAsia="Trebuchet MS" w:hAnsi="Times New Roman" w:cs="Times New Roman"/>
          <w:b/>
          <w:i/>
          <w:color w:val="5C6065"/>
          <w:w w:val="90"/>
          <w:sz w:val="24"/>
          <w:szCs w:val="24"/>
          <w:lang w:val="es-ES"/>
        </w:rPr>
      </w:pPr>
      <w:r>
        <w:rPr>
          <w:rFonts w:ascii="Times New Roman" w:eastAsia="Trebuchet MS" w:hAnsi="Times New Roman" w:cs="Times New Roman"/>
          <w:b/>
          <w:i/>
          <w:color w:val="5C6065"/>
          <w:w w:val="90"/>
          <w:sz w:val="24"/>
          <w:szCs w:val="24"/>
          <w:lang w:val="es-ES"/>
        </w:rPr>
        <w:t>M</w:t>
      </w:r>
      <w:r w:rsidR="00CC0727" w:rsidRPr="00CC0727">
        <w:rPr>
          <w:rFonts w:ascii="Times New Roman" w:eastAsia="Trebuchet MS" w:hAnsi="Times New Roman" w:cs="Times New Roman"/>
          <w:b/>
          <w:i/>
          <w:color w:val="5C6065"/>
          <w:w w:val="90"/>
          <w:sz w:val="24"/>
          <w:szCs w:val="24"/>
          <w:lang w:val="es-ES"/>
        </w:rPr>
        <w:t xml:space="preserve">uestra    </w:t>
      </w:r>
    </w:p>
    <w:p w14:paraId="55A326A1" w14:textId="083A34AB" w:rsidR="0011167B" w:rsidRPr="006F72A9" w:rsidRDefault="006F72A9" w:rsidP="007A34D1">
      <w:pPr>
        <w:spacing w:after="120" w:line="360" w:lineRule="auto"/>
        <w:ind w:hanging="720"/>
        <w:jc w:val="both"/>
        <w:rPr>
          <w:rFonts w:ascii="Times New Roman" w:hAnsi="Times New Roman" w:cs="Times New Roman"/>
          <w:sz w:val="24"/>
          <w:szCs w:val="24"/>
        </w:rPr>
      </w:pPr>
      <w:r>
        <w:rPr>
          <w:rFonts w:ascii="Times New Roman" w:hAnsi="Times New Roman" w:cs="Times New Roman"/>
          <w:sz w:val="24"/>
          <w:szCs w:val="24"/>
        </w:rPr>
        <w:tab/>
      </w:r>
      <w:r w:rsidR="0011167B" w:rsidRPr="0011167B">
        <w:rPr>
          <w:rFonts w:ascii="Times New Roman" w:hAnsi="Times New Roman" w:cs="Times New Roman"/>
          <w:sz w:val="24"/>
          <w:szCs w:val="24"/>
        </w:rPr>
        <w:t xml:space="preserve">Las empresas analizadas con estrategias de sustentabilidad en sus </w:t>
      </w:r>
      <w:r>
        <w:rPr>
          <w:rFonts w:ascii="Times New Roman" w:hAnsi="Times New Roman" w:cs="Times New Roman"/>
          <w:sz w:val="24"/>
          <w:szCs w:val="24"/>
        </w:rPr>
        <w:t xml:space="preserve">negocios relacionadas </w:t>
      </w:r>
      <w:r>
        <w:rPr>
          <w:rFonts w:ascii="Times New Roman" w:hAnsi="Times New Roman" w:cs="Times New Roman"/>
          <w:sz w:val="24"/>
          <w:szCs w:val="24"/>
        </w:rPr>
        <w:tab/>
        <w:t>con el ODS 6, son las siguientes:</w:t>
      </w:r>
    </w:p>
    <w:p w14:paraId="6F0DD609" w14:textId="4035F3D3" w:rsidR="0011167B" w:rsidRPr="0011167B" w:rsidRDefault="002D2F79" w:rsidP="006F72A9">
      <w:pPr>
        <w:pStyle w:val="Prrafodelista"/>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11167B" w:rsidRPr="0011167B">
        <w:rPr>
          <w:rFonts w:ascii="Times New Roman" w:hAnsi="Times New Roman" w:cs="Times New Roman"/>
          <w:sz w:val="24"/>
          <w:szCs w:val="24"/>
        </w:rPr>
        <w:t>Arcor SAIC (202</w:t>
      </w:r>
      <w:r w:rsidR="006F72A9">
        <w:rPr>
          <w:rFonts w:ascii="Times New Roman" w:hAnsi="Times New Roman" w:cs="Times New Roman"/>
          <w:sz w:val="24"/>
          <w:szCs w:val="24"/>
        </w:rPr>
        <w:t>2</w:t>
      </w:r>
      <w:r w:rsidR="0011167B" w:rsidRPr="0011167B">
        <w:rPr>
          <w:rFonts w:ascii="Times New Roman" w:hAnsi="Times New Roman" w:cs="Times New Roman"/>
          <w:sz w:val="24"/>
          <w:szCs w:val="24"/>
        </w:rPr>
        <w:t>). Sector alimenticio Reporte de Sustentabilidad 202</w:t>
      </w:r>
      <w:r w:rsidR="006F72A9">
        <w:rPr>
          <w:rFonts w:ascii="Times New Roman" w:hAnsi="Times New Roman" w:cs="Times New Roman"/>
          <w:sz w:val="24"/>
          <w:szCs w:val="24"/>
        </w:rPr>
        <w:t>1</w:t>
      </w:r>
    </w:p>
    <w:p w14:paraId="3F231C95" w14:textId="208F2E4D" w:rsidR="006F72A9" w:rsidRDefault="002D2F79" w:rsidP="006F72A9">
      <w:pPr>
        <w:pStyle w:val="Prrafodelista"/>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11167B" w:rsidRPr="0011167B">
        <w:rPr>
          <w:rFonts w:ascii="Times New Roman" w:hAnsi="Times New Roman" w:cs="Times New Roman"/>
          <w:sz w:val="24"/>
          <w:szCs w:val="24"/>
        </w:rPr>
        <w:t>YPF S.A. (202</w:t>
      </w:r>
      <w:r w:rsidR="006F72A9">
        <w:rPr>
          <w:rFonts w:ascii="Times New Roman" w:hAnsi="Times New Roman" w:cs="Times New Roman"/>
          <w:sz w:val="24"/>
          <w:szCs w:val="24"/>
        </w:rPr>
        <w:t>2</w:t>
      </w:r>
      <w:r w:rsidR="0011167B" w:rsidRPr="0011167B">
        <w:rPr>
          <w:rFonts w:ascii="Times New Roman" w:hAnsi="Times New Roman" w:cs="Times New Roman"/>
          <w:sz w:val="24"/>
          <w:szCs w:val="24"/>
        </w:rPr>
        <w:t xml:space="preserve">). Productora de hidrocarburos y otras fuentes de energía </w:t>
      </w:r>
      <w:r>
        <w:rPr>
          <w:rFonts w:ascii="Times New Roman" w:hAnsi="Times New Roman" w:cs="Times New Roman"/>
          <w:sz w:val="24"/>
          <w:szCs w:val="24"/>
        </w:rPr>
        <w:tab/>
      </w:r>
      <w:r w:rsidR="0011167B" w:rsidRPr="0011167B">
        <w:rPr>
          <w:rFonts w:ascii="Times New Roman" w:hAnsi="Times New Roman" w:cs="Times New Roman"/>
          <w:sz w:val="24"/>
          <w:szCs w:val="24"/>
        </w:rPr>
        <w:t>renovables. Reporte de Sustentabilidad 202</w:t>
      </w:r>
      <w:r w:rsidR="006F72A9">
        <w:rPr>
          <w:rFonts w:ascii="Times New Roman" w:hAnsi="Times New Roman" w:cs="Times New Roman"/>
          <w:sz w:val="24"/>
          <w:szCs w:val="24"/>
        </w:rPr>
        <w:t>1.</w:t>
      </w:r>
    </w:p>
    <w:p w14:paraId="238E8CE5" w14:textId="540AC0F4" w:rsidR="0011167B" w:rsidRPr="006F72A9" w:rsidRDefault="002D2F79" w:rsidP="007A34D1">
      <w:pPr>
        <w:pStyle w:val="Prrafodelista"/>
        <w:spacing w:after="120" w:line="36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A1488E">
        <w:rPr>
          <w:rFonts w:ascii="Times New Roman" w:hAnsi="Times New Roman" w:cs="Times New Roman"/>
          <w:sz w:val="24"/>
          <w:szCs w:val="24"/>
        </w:rPr>
        <w:t xml:space="preserve">Molinos Agro S.A. (2022). Producción y venta de productos agrícolas. Reporte </w:t>
      </w:r>
      <w:r w:rsidR="00A1488E">
        <w:rPr>
          <w:rFonts w:ascii="Times New Roman" w:hAnsi="Times New Roman" w:cs="Times New Roman"/>
          <w:sz w:val="24"/>
          <w:szCs w:val="24"/>
        </w:rPr>
        <w:tab/>
        <w:t>de Sustentabilidad 2021</w:t>
      </w:r>
      <w:r w:rsidR="00593E54">
        <w:rPr>
          <w:rFonts w:ascii="Times New Roman" w:hAnsi="Times New Roman" w:cs="Times New Roman"/>
          <w:sz w:val="24"/>
          <w:szCs w:val="24"/>
        </w:rPr>
        <w:t>/2022</w:t>
      </w:r>
      <w:r w:rsidR="00A1488E">
        <w:rPr>
          <w:rFonts w:ascii="Times New Roman" w:hAnsi="Times New Roman" w:cs="Times New Roman"/>
          <w:sz w:val="24"/>
          <w:szCs w:val="24"/>
        </w:rPr>
        <w:t>.</w:t>
      </w:r>
    </w:p>
    <w:p w14:paraId="2EBFFA38" w14:textId="1D1EC0B4" w:rsidR="0011167B" w:rsidRPr="0011167B" w:rsidRDefault="002D2F79" w:rsidP="007A34D1">
      <w:pPr>
        <w:pStyle w:val="Prrafodelista"/>
        <w:spacing w:after="120" w:line="36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11167B" w:rsidRPr="0011167B">
        <w:rPr>
          <w:rFonts w:ascii="Times New Roman" w:hAnsi="Times New Roman" w:cs="Times New Roman"/>
          <w:sz w:val="24"/>
          <w:szCs w:val="24"/>
        </w:rPr>
        <w:t>Ternium S.A. (202</w:t>
      </w:r>
      <w:r w:rsidR="006F72A9">
        <w:rPr>
          <w:rFonts w:ascii="Times New Roman" w:hAnsi="Times New Roman" w:cs="Times New Roman"/>
          <w:sz w:val="24"/>
          <w:szCs w:val="24"/>
        </w:rPr>
        <w:t>2</w:t>
      </w:r>
      <w:r w:rsidR="0011167B" w:rsidRPr="0011167B">
        <w:rPr>
          <w:rFonts w:ascii="Times New Roman" w:hAnsi="Times New Roman" w:cs="Times New Roman"/>
          <w:sz w:val="24"/>
          <w:szCs w:val="24"/>
        </w:rPr>
        <w:t>). Productora de acero plano. Reporte de Sustentabilidad 202</w:t>
      </w:r>
      <w:r w:rsidR="006F72A9">
        <w:rPr>
          <w:rFonts w:ascii="Times New Roman" w:hAnsi="Times New Roman" w:cs="Times New Roman"/>
          <w:sz w:val="24"/>
          <w:szCs w:val="24"/>
        </w:rPr>
        <w:t>1</w:t>
      </w:r>
    </w:p>
    <w:p w14:paraId="0B6E85BA" w14:textId="77777777" w:rsidR="007A34D1" w:rsidRDefault="002D2F79" w:rsidP="007A34D1">
      <w:pPr>
        <w:pStyle w:val="Prrafodelista"/>
        <w:spacing w:after="120" w:line="360" w:lineRule="auto"/>
        <w:ind w:left="357"/>
        <w:jc w:val="both"/>
        <w:rPr>
          <w:rFonts w:ascii="Times New Roman" w:hAnsi="Times New Roman" w:cs="Times New Roman"/>
          <w:sz w:val="24"/>
          <w:szCs w:val="24"/>
        </w:rPr>
      </w:pPr>
      <w:r>
        <w:rPr>
          <w:rFonts w:ascii="Times New Roman" w:hAnsi="Times New Roman" w:cs="Times New Roman"/>
          <w:sz w:val="24"/>
          <w:szCs w:val="24"/>
        </w:rPr>
        <w:tab/>
      </w:r>
      <w:r w:rsidR="0011167B" w:rsidRPr="0011167B">
        <w:rPr>
          <w:rFonts w:ascii="Times New Roman" w:hAnsi="Times New Roman" w:cs="Times New Roman"/>
          <w:sz w:val="24"/>
          <w:szCs w:val="24"/>
        </w:rPr>
        <w:t>Holcim Argentina S.A. Productora de Cemento. (202</w:t>
      </w:r>
      <w:r w:rsidR="006F72A9">
        <w:rPr>
          <w:rFonts w:ascii="Times New Roman" w:hAnsi="Times New Roman" w:cs="Times New Roman"/>
          <w:sz w:val="24"/>
          <w:szCs w:val="24"/>
        </w:rPr>
        <w:t>2</w:t>
      </w:r>
      <w:r w:rsidR="0011167B" w:rsidRPr="0011167B">
        <w:rPr>
          <w:rFonts w:ascii="Times New Roman" w:hAnsi="Times New Roman" w:cs="Times New Roman"/>
          <w:sz w:val="24"/>
          <w:szCs w:val="24"/>
        </w:rPr>
        <w:t xml:space="preserve">) Informe de desarrollo </w:t>
      </w:r>
      <w:r>
        <w:rPr>
          <w:rFonts w:ascii="Times New Roman" w:hAnsi="Times New Roman" w:cs="Times New Roman"/>
          <w:sz w:val="24"/>
          <w:szCs w:val="24"/>
        </w:rPr>
        <w:tab/>
      </w:r>
      <w:r w:rsidR="0011167B" w:rsidRPr="0011167B">
        <w:rPr>
          <w:rFonts w:ascii="Times New Roman" w:hAnsi="Times New Roman" w:cs="Times New Roman"/>
          <w:sz w:val="24"/>
          <w:szCs w:val="24"/>
        </w:rPr>
        <w:t>sustentable 202</w:t>
      </w:r>
      <w:r w:rsidR="006F72A9">
        <w:rPr>
          <w:rFonts w:ascii="Times New Roman" w:hAnsi="Times New Roman" w:cs="Times New Roman"/>
          <w:sz w:val="24"/>
          <w:szCs w:val="24"/>
        </w:rPr>
        <w:t>1</w:t>
      </w:r>
      <w:r w:rsidR="0011167B" w:rsidRPr="0011167B">
        <w:rPr>
          <w:rFonts w:ascii="Times New Roman" w:hAnsi="Times New Roman" w:cs="Times New Roman"/>
          <w:sz w:val="24"/>
          <w:szCs w:val="24"/>
        </w:rPr>
        <w:t>.</w:t>
      </w:r>
      <w:r w:rsidR="007A34D1">
        <w:rPr>
          <w:rFonts w:ascii="Times New Roman" w:hAnsi="Times New Roman" w:cs="Times New Roman"/>
          <w:sz w:val="24"/>
          <w:szCs w:val="24"/>
        </w:rPr>
        <w:t xml:space="preserve"> </w:t>
      </w:r>
    </w:p>
    <w:p w14:paraId="55494E7D" w14:textId="5C242BA0" w:rsidR="007A34D1" w:rsidRPr="006F72A9" w:rsidRDefault="007A34D1" w:rsidP="007A34D1">
      <w:pPr>
        <w:pStyle w:val="Prrafodelista"/>
        <w:spacing w:after="120" w:line="360" w:lineRule="auto"/>
        <w:ind w:left="357"/>
        <w:jc w:val="both"/>
        <w:rPr>
          <w:rFonts w:ascii="Times New Roman" w:hAnsi="Times New Roman" w:cs="Times New Roman"/>
          <w:sz w:val="24"/>
          <w:szCs w:val="24"/>
        </w:rPr>
      </w:pPr>
      <w:r>
        <w:rPr>
          <w:rFonts w:ascii="Times New Roman" w:hAnsi="Times New Roman" w:cs="Times New Roman"/>
          <w:sz w:val="24"/>
          <w:szCs w:val="24"/>
        </w:rPr>
        <w:tab/>
      </w:r>
      <w:r w:rsidRPr="006F72A9">
        <w:rPr>
          <w:rFonts w:ascii="Times New Roman" w:hAnsi="Times New Roman" w:cs="Times New Roman"/>
          <w:sz w:val="24"/>
          <w:szCs w:val="24"/>
        </w:rPr>
        <w:t>Toyota Argentina</w:t>
      </w:r>
      <w:r w:rsidR="00E41174">
        <w:rPr>
          <w:rFonts w:ascii="Times New Roman" w:hAnsi="Times New Roman" w:cs="Times New Roman"/>
          <w:sz w:val="24"/>
          <w:szCs w:val="24"/>
        </w:rPr>
        <w:t xml:space="preserve"> S.A.</w:t>
      </w:r>
      <w:r w:rsidRPr="006F72A9">
        <w:rPr>
          <w:rFonts w:ascii="Times New Roman" w:hAnsi="Times New Roman" w:cs="Times New Roman"/>
          <w:sz w:val="24"/>
          <w:szCs w:val="24"/>
        </w:rPr>
        <w:t xml:space="preserve"> (2022). Automotriz. Reporte de Sustentabilidad 202</w:t>
      </w:r>
      <w:r w:rsidR="00F33EC9">
        <w:rPr>
          <w:rFonts w:ascii="Times New Roman" w:hAnsi="Times New Roman" w:cs="Times New Roman"/>
          <w:sz w:val="24"/>
          <w:szCs w:val="24"/>
        </w:rPr>
        <w:t>0.</w:t>
      </w:r>
    </w:p>
    <w:p w14:paraId="7FC07F40" w14:textId="7C1AE7CA" w:rsidR="0011167B" w:rsidRPr="0011167B" w:rsidRDefault="0011167B" w:rsidP="00C67A35">
      <w:pPr>
        <w:pStyle w:val="Prrafodelista"/>
        <w:spacing w:after="120" w:line="360" w:lineRule="auto"/>
        <w:ind w:left="360"/>
        <w:jc w:val="both"/>
        <w:rPr>
          <w:rFonts w:ascii="Times New Roman" w:hAnsi="Times New Roman" w:cs="Times New Roman"/>
          <w:sz w:val="24"/>
          <w:szCs w:val="24"/>
        </w:rPr>
      </w:pPr>
      <w:r w:rsidRPr="0011167B">
        <w:rPr>
          <w:rFonts w:ascii="Times New Roman" w:hAnsi="Times New Roman" w:cs="Times New Roman"/>
          <w:sz w:val="24"/>
          <w:szCs w:val="24"/>
        </w:rPr>
        <w:tab/>
        <w:t xml:space="preserve">Los aspectos analizados </w:t>
      </w:r>
      <w:r w:rsidR="006F72A9">
        <w:rPr>
          <w:rFonts w:ascii="Times New Roman" w:hAnsi="Times New Roman" w:cs="Times New Roman"/>
          <w:sz w:val="24"/>
          <w:szCs w:val="24"/>
        </w:rPr>
        <w:t>son:</w:t>
      </w:r>
    </w:p>
    <w:p w14:paraId="16DEC984" w14:textId="3B9924F0" w:rsidR="0011167B" w:rsidRPr="006F72A9" w:rsidRDefault="006F72A9" w:rsidP="006F72A9">
      <w:pPr>
        <w:spacing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11167B" w:rsidRPr="006F72A9">
        <w:rPr>
          <w:rFonts w:ascii="Times New Roman" w:hAnsi="Times New Roman" w:cs="Times New Roman"/>
          <w:sz w:val="24"/>
          <w:szCs w:val="24"/>
        </w:rPr>
        <w:t xml:space="preserve">Incorporación </w:t>
      </w:r>
      <w:r>
        <w:rPr>
          <w:rFonts w:ascii="Times New Roman" w:hAnsi="Times New Roman" w:cs="Times New Roman"/>
          <w:sz w:val="24"/>
          <w:szCs w:val="24"/>
        </w:rPr>
        <w:t xml:space="preserve">en sus estrategias </w:t>
      </w:r>
      <w:r w:rsidR="0011167B" w:rsidRPr="006F72A9">
        <w:rPr>
          <w:rFonts w:ascii="Times New Roman" w:hAnsi="Times New Roman" w:cs="Times New Roman"/>
          <w:sz w:val="24"/>
          <w:szCs w:val="24"/>
        </w:rPr>
        <w:t xml:space="preserve">de </w:t>
      </w:r>
      <w:r w:rsidRPr="006F72A9">
        <w:rPr>
          <w:rFonts w:ascii="Times New Roman" w:hAnsi="Times New Roman" w:cs="Times New Roman"/>
          <w:sz w:val="24"/>
          <w:szCs w:val="24"/>
        </w:rPr>
        <w:t xml:space="preserve">acciones tendientes a </w:t>
      </w:r>
      <w:r w:rsidR="002D2F79">
        <w:rPr>
          <w:rFonts w:ascii="Times New Roman" w:hAnsi="Times New Roman" w:cs="Times New Roman"/>
          <w:sz w:val="24"/>
          <w:szCs w:val="24"/>
        </w:rPr>
        <w:t xml:space="preserve">posibilitar </w:t>
      </w:r>
      <w:r w:rsidRPr="006F72A9">
        <w:rPr>
          <w:rFonts w:ascii="Times New Roman" w:hAnsi="Times New Roman" w:cs="Times New Roman"/>
          <w:sz w:val="24"/>
          <w:szCs w:val="24"/>
        </w:rPr>
        <w:t>la disponibilidad de agua y su gestión sustentable y saneamiento.</w:t>
      </w:r>
      <w:r>
        <w:rPr>
          <w:rFonts w:ascii="Times New Roman" w:hAnsi="Times New Roman" w:cs="Times New Roman"/>
          <w:sz w:val="24"/>
          <w:szCs w:val="24"/>
        </w:rPr>
        <w:t xml:space="preserve"> Adhesión al ODS 6.</w:t>
      </w:r>
    </w:p>
    <w:p w14:paraId="3031B9FA" w14:textId="721D79BB" w:rsidR="0011167B" w:rsidRPr="0011167B" w:rsidRDefault="006F72A9" w:rsidP="006F72A9">
      <w:pPr>
        <w:pStyle w:val="Prrafode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1167B" w:rsidRPr="0011167B">
        <w:rPr>
          <w:rFonts w:ascii="Times New Roman" w:hAnsi="Times New Roman" w:cs="Times New Roman"/>
          <w:sz w:val="24"/>
          <w:szCs w:val="24"/>
        </w:rPr>
        <w:t xml:space="preserve">Incorporación de Indicadores de Desempeño Sustentable para mostrar los </w:t>
      </w:r>
      <w:r>
        <w:rPr>
          <w:rFonts w:ascii="Times New Roman" w:hAnsi="Times New Roman" w:cs="Times New Roman"/>
          <w:sz w:val="24"/>
          <w:szCs w:val="24"/>
        </w:rPr>
        <w:tab/>
      </w:r>
      <w:r w:rsidR="0011167B" w:rsidRPr="0011167B">
        <w:rPr>
          <w:rFonts w:ascii="Times New Roman" w:hAnsi="Times New Roman" w:cs="Times New Roman"/>
          <w:sz w:val="24"/>
          <w:szCs w:val="24"/>
        </w:rPr>
        <w:t>resultados de sus estrategias</w:t>
      </w:r>
      <w:r w:rsidR="002D2F79">
        <w:rPr>
          <w:rFonts w:ascii="Times New Roman" w:hAnsi="Times New Roman" w:cs="Times New Roman"/>
          <w:sz w:val="24"/>
          <w:szCs w:val="24"/>
        </w:rPr>
        <w:t xml:space="preserve"> de</w:t>
      </w:r>
      <w:r w:rsidR="0011167B" w:rsidRPr="0011167B">
        <w:rPr>
          <w:rFonts w:ascii="Times New Roman" w:hAnsi="Times New Roman" w:cs="Times New Roman"/>
          <w:sz w:val="24"/>
          <w:szCs w:val="24"/>
        </w:rPr>
        <w:t xml:space="preserve"> </w:t>
      </w:r>
      <w:r>
        <w:rPr>
          <w:rFonts w:ascii="Times New Roman" w:hAnsi="Times New Roman" w:cs="Times New Roman"/>
          <w:sz w:val="24"/>
          <w:szCs w:val="24"/>
        </w:rPr>
        <w:t>gestión de aguas y saneamiento.</w:t>
      </w:r>
    </w:p>
    <w:p w14:paraId="10BA710E" w14:textId="4FEEA4CF" w:rsidR="009642DA" w:rsidRDefault="006F72A9" w:rsidP="00C67A35">
      <w:pPr>
        <w:pStyle w:val="Prrafodelista"/>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1167B" w:rsidRPr="006F72A9">
        <w:rPr>
          <w:rFonts w:ascii="Times New Roman" w:hAnsi="Times New Roman" w:cs="Times New Roman"/>
          <w:sz w:val="24"/>
          <w:szCs w:val="24"/>
        </w:rPr>
        <w:t>Realización de</w:t>
      </w:r>
      <w:r>
        <w:rPr>
          <w:rFonts w:ascii="Times New Roman" w:hAnsi="Times New Roman" w:cs="Times New Roman"/>
          <w:sz w:val="24"/>
          <w:szCs w:val="24"/>
        </w:rPr>
        <w:t xml:space="preserve"> inversiones relacionadas con</w:t>
      </w:r>
      <w:r w:rsidR="002D2F79">
        <w:rPr>
          <w:rFonts w:ascii="Times New Roman" w:hAnsi="Times New Roman" w:cs="Times New Roman"/>
          <w:sz w:val="24"/>
          <w:szCs w:val="24"/>
        </w:rPr>
        <w:t xml:space="preserve"> la</w:t>
      </w:r>
      <w:r>
        <w:rPr>
          <w:rFonts w:ascii="Times New Roman" w:hAnsi="Times New Roman" w:cs="Times New Roman"/>
          <w:sz w:val="24"/>
          <w:szCs w:val="24"/>
        </w:rPr>
        <w:t xml:space="preserve"> gestión sustentable de aguas y </w:t>
      </w:r>
      <w:r>
        <w:rPr>
          <w:rFonts w:ascii="Times New Roman" w:hAnsi="Times New Roman" w:cs="Times New Roman"/>
          <w:sz w:val="24"/>
          <w:szCs w:val="24"/>
        </w:rPr>
        <w:tab/>
        <w:t>saneamiento</w:t>
      </w:r>
    </w:p>
    <w:p w14:paraId="11356B06" w14:textId="77777777" w:rsidR="00C67A35" w:rsidRPr="00C67A35" w:rsidRDefault="00C67A35" w:rsidP="00C67A35">
      <w:pPr>
        <w:pStyle w:val="Prrafodelista"/>
        <w:spacing w:after="120" w:line="360" w:lineRule="auto"/>
        <w:ind w:left="0"/>
        <w:jc w:val="both"/>
        <w:rPr>
          <w:rFonts w:ascii="Times New Roman" w:hAnsi="Times New Roman" w:cs="Times New Roman"/>
          <w:sz w:val="24"/>
          <w:szCs w:val="24"/>
        </w:rPr>
      </w:pPr>
    </w:p>
    <w:p w14:paraId="0D5FCF68" w14:textId="15F927BE" w:rsidR="00355F37" w:rsidRDefault="00355F37" w:rsidP="00EB3BD4">
      <w:pPr>
        <w:widowControl w:val="0"/>
        <w:tabs>
          <w:tab w:val="left" w:pos="721"/>
        </w:tabs>
        <w:autoSpaceDE w:val="0"/>
        <w:autoSpaceDN w:val="0"/>
        <w:spacing w:line="360" w:lineRule="auto"/>
        <w:jc w:val="both"/>
        <w:rPr>
          <w:rFonts w:ascii="Times New Roman" w:eastAsia="Trebuchet MS" w:hAnsi="Times New Roman" w:cs="Times New Roman"/>
          <w:b/>
          <w:color w:val="5C6065"/>
          <w:w w:val="90"/>
          <w:sz w:val="24"/>
          <w:szCs w:val="24"/>
          <w:lang w:val="es-ES"/>
        </w:rPr>
      </w:pPr>
      <w:r w:rsidRPr="00355F37">
        <w:rPr>
          <w:rFonts w:ascii="Times New Roman" w:eastAsia="Trebuchet MS" w:hAnsi="Times New Roman" w:cs="Times New Roman"/>
          <w:b/>
          <w:color w:val="5C6065"/>
          <w:w w:val="90"/>
          <w:sz w:val="24"/>
          <w:szCs w:val="24"/>
          <w:lang w:val="es-ES"/>
        </w:rPr>
        <w:t>Resultados y Discusiones</w:t>
      </w:r>
    </w:p>
    <w:p w14:paraId="14BB1585" w14:textId="7B123EE1" w:rsidR="00763194" w:rsidRDefault="0090006C" w:rsidP="009C2B6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Los resultados del análisis previamente mencionado, se exponen a continuación:</w:t>
      </w:r>
    </w:p>
    <w:tbl>
      <w:tblPr>
        <w:tblStyle w:val="Tablaconcuadrcula"/>
        <w:tblW w:w="0" w:type="auto"/>
        <w:tblInd w:w="-5" w:type="dxa"/>
        <w:tblLook w:val="04A0" w:firstRow="1" w:lastRow="0" w:firstColumn="1" w:lastColumn="0" w:noHBand="0" w:noVBand="1"/>
      </w:tblPr>
      <w:tblGrid>
        <w:gridCol w:w="7774"/>
      </w:tblGrid>
      <w:tr w:rsidR="0090006C" w:rsidRPr="0090006C" w14:paraId="23EB8C2B" w14:textId="77777777" w:rsidTr="00940EA5">
        <w:tc>
          <w:tcPr>
            <w:tcW w:w="7774" w:type="dxa"/>
            <w:shd w:val="clear" w:color="auto" w:fill="D0CECE" w:themeFill="background2" w:themeFillShade="E6"/>
          </w:tcPr>
          <w:p w14:paraId="2CDC8BCA" w14:textId="49E7C474" w:rsidR="0090006C" w:rsidRPr="0090006C" w:rsidRDefault="0090006C" w:rsidP="0090006C">
            <w:pPr>
              <w:spacing w:line="360" w:lineRule="auto"/>
              <w:jc w:val="both"/>
              <w:rPr>
                <w:rFonts w:ascii="Times New Roman" w:hAnsi="Times New Roman" w:cs="Times New Roman"/>
                <w:b/>
                <w:sz w:val="24"/>
                <w:szCs w:val="24"/>
              </w:rPr>
            </w:pPr>
            <w:r w:rsidRPr="0090006C">
              <w:rPr>
                <w:rFonts w:ascii="Times New Roman" w:hAnsi="Times New Roman" w:cs="Times New Roman"/>
                <w:b/>
                <w:sz w:val="24"/>
                <w:szCs w:val="24"/>
              </w:rPr>
              <w:t>ARCOR SAIC</w:t>
            </w:r>
          </w:p>
        </w:tc>
      </w:tr>
      <w:tr w:rsidR="0090006C" w:rsidRPr="0090006C" w14:paraId="6BE7C6EF" w14:textId="77777777" w:rsidTr="0090006C">
        <w:tc>
          <w:tcPr>
            <w:tcW w:w="7774" w:type="dxa"/>
          </w:tcPr>
          <w:p w14:paraId="5A32DA26" w14:textId="58FDE131" w:rsidR="0090006C" w:rsidRPr="0090006C" w:rsidRDefault="0090006C" w:rsidP="009D6DF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Estrategia: </w:t>
            </w:r>
            <w:r w:rsidR="009D6DFD">
              <w:rPr>
                <w:rFonts w:ascii="Times New Roman" w:hAnsi="Times New Roman" w:cs="Times New Roman"/>
                <w:sz w:val="24"/>
                <w:szCs w:val="24"/>
              </w:rPr>
              <w:t>explicita su compromiso sostenible con el planeta utilizando las mejores prácticas para asegurar la producción de alimentos sustentables promoviendo la prosperidad de las personas y preservando la sustentabilidad del planeta</w:t>
            </w:r>
          </w:p>
        </w:tc>
      </w:tr>
      <w:tr w:rsidR="009D6DFD" w:rsidRPr="0090006C" w14:paraId="57CB3E6D" w14:textId="77777777" w:rsidTr="0090006C">
        <w:tc>
          <w:tcPr>
            <w:tcW w:w="7774" w:type="dxa"/>
          </w:tcPr>
          <w:p w14:paraId="2061822A" w14:textId="704DB70F" w:rsidR="009D6DFD" w:rsidRPr="009D6DFD" w:rsidRDefault="009D6DFD" w:rsidP="009D6DF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Adhesión a ODS 6: </w:t>
            </w:r>
            <w:r w:rsidR="005646A4">
              <w:rPr>
                <w:rFonts w:ascii="Times New Roman" w:hAnsi="Times New Roman" w:cs="Times New Roman"/>
                <w:sz w:val="24"/>
                <w:szCs w:val="24"/>
              </w:rPr>
              <w:t xml:space="preserve">adhiere al referirse al cuidado del agua con el compromiso de realizar un consumo de agua cada vez más eficiente, reponer agua al ambiente en forma segura y a preservar las fuentes que utilizan en toda la cadena de valor. </w:t>
            </w:r>
          </w:p>
        </w:tc>
      </w:tr>
      <w:tr w:rsidR="005646A4" w:rsidRPr="0090006C" w14:paraId="1BA8A067" w14:textId="77777777" w:rsidTr="0090006C">
        <w:tc>
          <w:tcPr>
            <w:tcW w:w="7774" w:type="dxa"/>
          </w:tcPr>
          <w:p w14:paraId="076C1A9F" w14:textId="77777777" w:rsidR="005646A4" w:rsidRDefault="005646A4" w:rsidP="009D6DF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IDS garantizar disponibilidad de agua, su gestión sostenible y tratamiento de efluentes: </w:t>
            </w:r>
            <w:r>
              <w:rPr>
                <w:rFonts w:ascii="Times New Roman" w:hAnsi="Times New Roman" w:cs="Times New Roman"/>
                <w:sz w:val="24"/>
                <w:szCs w:val="24"/>
              </w:rPr>
              <w:t xml:space="preserve">consumo de agua (m3/t): 7,49. En 2021 lograron una reducción del indicador de consumo específico de agua (m3/t producidas) de 7%, continuando con la tendencia de los últimos años. </w:t>
            </w:r>
            <w:r w:rsidR="00F505F6">
              <w:rPr>
                <w:rFonts w:ascii="Times New Roman" w:hAnsi="Times New Roman" w:cs="Times New Roman"/>
                <w:sz w:val="24"/>
                <w:szCs w:val="24"/>
              </w:rPr>
              <w:t>Consumo de agua por tipo:</w:t>
            </w:r>
          </w:p>
          <w:p w14:paraId="321EE240" w14:textId="77777777" w:rsidR="00F505F6" w:rsidRDefault="00F505F6" w:rsidP="009D6D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subterránea pública: 197.479 m3 (1%); subterránea propia: 11.607.379 m3 (36%); superficial pública: 185.557 m3 (0%); superficial propia: 20.353.342 m3 (63%).</w:t>
            </w:r>
          </w:p>
          <w:p w14:paraId="49D8C273" w14:textId="3F977D1D" w:rsidR="00F505F6" w:rsidRPr="005646A4" w:rsidRDefault="00F505F6" w:rsidP="009D6DFD">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 la técnica Water Risk Filter, se clasifican los diferentes sitios donde se extrae el agua. Un 8,65% del total de aguas utilizadas por el Grupo Arcor, es extraída en zona de riesgo alto o estrés hídrico.</w:t>
            </w:r>
          </w:p>
        </w:tc>
      </w:tr>
      <w:tr w:rsidR="00F505F6" w:rsidRPr="0090006C" w14:paraId="5952FA71" w14:textId="77777777" w:rsidTr="0090006C">
        <w:tc>
          <w:tcPr>
            <w:tcW w:w="7774" w:type="dxa"/>
          </w:tcPr>
          <w:p w14:paraId="4D7A3A5E" w14:textId="77777777" w:rsidR="00F505F6" w:rsidRDefault="00AB4C1B" w:rsidP="009D6DFD">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Inversiones: </w:t>
            </w:r>
            <w:r>
              <w:rPr>
                <w:rFonts w:ascii="Times New Roman" w:hAnsi="Times New Roman" w:cs="Times New Roman"/>
                <w:sz w:val="24"/>
                <w:szCs w:val="24"/>
              </w:rPr>
              <w:t xml:space="preserve">en 2020 comenzaron en Ingenio La Providencia con un proyecto que mejora el sistema de torres de enfriamiento, ya que permite aumentar los caudales </w:t>
            </w:r>
            <w:r w:rsidR="00DC3D21">
              <w:rPr>
                <w:rFonts w:ascii="Times New Roman" w:hAnsi="Times New Roman" w:cs="Times New Roman"/>
                <w:sz w:val="24"/>
                <w:szCs w:val="24"/>
              </w:rPr>
              <w:t>de circulación del agua., permitiendo en 2021 una reducción de 1.008.459 m3 en épocas de zafra. Con una inversión de U$S 10.000, se prevé el año próximo completar la obra.</w:t>
            </w:r>
          </w:p>
          <w:p w14:paraId="03010615" w14:textId="69C162CE" w:rsidR="00DC3D21" w:rsidRPr="00AB4C1B" w:rsidRDefault="00DC3D21" w:rsidP="00DC3D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2021 se comenzó la construcción de una nueva planta de tratamiento de efluentes para la recuperación del agua. La inversión total en la planta fue de U$S 3.266.000 y se espera que en 2022 se termine de poder en marcha. </w:t>
            </w:r>
          </w:p>
        </w:tc>
      </w:tr>
      <w:tr w:rsidR="003D0DFC" w:rsidRPr="0090006C" w14:paraId="4B3BF4DF" w14:textId="77777777" w:rsidTr="00940EA5">
        <w:tc>
          <w:tcPr>
            <w:tcW w:w="7774" w:type="dxa"/>
            <w:shd w:val="clear" w:color="auto" w:fill="D0CECE" w:themeFill="background2" w:themeFillShade="E6"/>
          </w:tcPr>
          <w:p w14:paraId="41B80245" w14:textId="479E19CF" w:rsidR="003D0DFC" w:rsidRDefault="003D0DFC" w:rsidP="009D6DFD">
            <w:pPr>
              <w:spacing w:line="360" w:lineRule="auto"/>
              <w:jc w:val="both"/>
              <w:rPr>
                <w:rFonts w:ascii="Times New Roman" w:hAnsi="Times New Roman" w:cs="Times New Roman"/>
                <w:b/>
                <w:sz w:val="24"/>
                <w:szCs w:val="24"/>
              </w:rPr>
            </w:pPr>
            <w:r>
              <w:rPr>
                <w:rFonts w:ascii="Times New Roman" w:hAnsi="Times New Roman" w:cs="Times New Roman"/>
                <w:b/>
                <w:sz w:val="24"/>
                <w:szCs w:val="24"/>
              </w:rPr>
              <w:t>YPF S.A.</w:t>
            </w:r>
          </w:p>
        </w:tc>
      </w:tr>
      <w:tr w:rsidR="003D0DFC" w:rsidRPr="0090006C" w14:paraId="66E0F812" w14:textId="77777777" w:rsidTr="0090006C">
        <w:tc>
          <w:tcPr>
            <w:tcW w:w="7774" w:type="dxa"/>
          </w:tcPr>
          <w:p w14:paraId="193023FA" w14:textId="7312C3B4" w:rsidR="00651640" w:rsidRPr="003D0DFC" w:rsidRDefault="003D0DFC" w:rsidP="0065164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Estrategia: </w:t>
            </w:r>
            <w:r w:rsidR="00651640">
              <w:rPr>
                <w:rFonts w:ascii="Times New Roman" w:hAnsi="Times New Roman" w:cs="Times New Roman"/>
                <w:sz w:val="24"/>
                <w:szCs w:val="24"/>
              </w:rPr>
              <w:t>incluyen en su estrategia la adecuada gestión de aguas y tratamiento de efluentes, ya que persigue generar valor a largo plazo para sus grupos de interés y toda la Nación Argentina.</w:t>
            </w:r>
          </w:p>
        </w:tc>
      </w:tr>
      <w:tr w:rsidR="00651640" w:rsidRPr="0090006C" w14:paraId="3671C24B" w14:textId="77777777" w:rsidTr="0090006C">
        <w:tc>
          <w:tcPr>
            <w:tcW w:w="7774" w:type="dxa"/>
          </w:tcPr>
          <w:p w14:paraId="13FB9AE3" w14:textId="6987E429" w:rsidR="00651640" w:rsidRPr="00651640" w:rsidRDefault="00651640" w:rsidP="0065164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Adhesión a ODS 6: </w:t>
            </w:r>
            <w:r>
              <w:rPr>
                <w:rFonts w:ascii="Times New Roman" w:hAnsi="Times New Roman" w:cs="Times New Roman"/>
                <w:sz w:val="24"/>
                <w:szCs w:val="24"/>
              </w:rPr>
              <w:t xml:space="preserve">adhiere con una gestión de aguas con un enfoque centrado en la sustentabilidad del recurso, tomando en cuenta el uso compartido con las comunidades aledañas, la eficiencia en su consumo y la adecuada gestión de efluentes generados. A través de la herramienta Acueduct, identifican puntos de captación y vertido que se encuentran en zonas de estrés hídrico. </w:t>
            </w:r>
          </w:p>
        </w:tc>
      </w:tr>
      <w:tr w:rsidR="00651640" w:rsidRPr="0090006C" w14:paraId="5DB8F5F7" w14:textId="77777777" w:rsidTr="0090006C">
        <w:tc>
          <w:tcPr>
            <w:tcW w:w="7774" w:type="dxa"/>
          </w:tcPr>
          <w:p w14:paraId="1F17B034" w14:textId="252F0862" w:rsidR="00943E14" w:rsidRDefault="00651640" w:rsidP="00943E1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IDS garantizar disponibilidad de agua, su gestión sostenible y tratamiento de efluentes: </w:t>
            </w:r>
            <w:r>
              <w:rPr>
                <w:rFonts w:ascii="Times New Roman" w:hAnsi="Times New Roman" w:cs="Times New Roman"/>
                <w:sz w:val="24"/>
                <w:szCs w:val="24"/>
              </w:rPr>
              <w:t>el agua extraída en 2021 totalizó 216.011 l</w:t>
            </w:r>
            <w:r w:rsidR="00D71E68">
              <w:rPr>
                <w:rFonts w:ascii="Times New Roman" w:hAnsi="Times New Roman" w:cs="Times New Roman"/>
                <w:sz w:val="24"/>
                <w:szCs w:val="24"/>
              </w:rPr>
              <w:t>itros</w:t>
            </w:r>
            <w:r>
              <w:rPr>
                <w:rFonts w:ascii="Times New Roman" w:hAnsi="Times New Roman" w:cs="Times New Roman"/>
                <w:sz w:val="24"/>
                <w:szCs w:val="24"/>
              </w:rPr>
              <w:t xml:space="preserve">., un 1,7% menos que el año precedente. La captación externa se incrementó en un 2,9% interanual. El total de agua incorporada a algún producto, utilizada en la producción o evaporada, fue de 35.342kt en 2021, un 8,2% más que en </w:t>
            </w:r>
            <w:proofErr w:type="gramStart"/>
            <w:r>
              <w:rPr>
                <w:rFonts w:ascii="Times New Roman" w:hAnsi="Times New Roman" w:cs="Times New Roman"/>
                <w:sz w:val="24"/>
                <w:szCs w:val="24"/>
              </w:rPr>
              <w:t>2020..</w:t>
            </w:r>
            <w:proofErr w:type="gramEnd"/>
            <w:r>
              <w:rPr>
                <w:rFonts w:ascii="Times New Roman" w:hAnsi="Times New Roman" w:cs="Times New Roman"/>
                <w:sz w:val="24"/>
                <w:szCs w:val="24"/>
              </w:rPr>
              <w:t xml:space="preserve"> El nuevo plan de ambiente de la compañía para el período 2022/2026, establece un nuevo objetivo vinculado al uso eficiente del agua. Consiste en un 5% de reducción de la intensidad de </w:t>
            </w:r>
            <w:r w:rsidR="00943E14">
              <w:rPr>
                <w:rFonts w:ascii="Times New Roman" w:hAnsi="Times New Roman" w:cs="Times New Roman"/>
                <w:sz w:val="24"/>
                <w:szCs w:val="24"/>
              </w:rPr>
              <w:t xml:space="preserve">captación de agua dulce. Lleva a cabo un proceso de fractura hidráulica segura, con productos químicos que conforman menos del 1% de los fluidos de fractura. Para evitar la potencial afectación de los </w:t>
            </w:r>
            <w:r w:rsidR="00943E14">
              <w:rPr>
                <w:rFonts w:ascii="Times New Roman" w:hAnsi="Times New Roman" w:cs="Times New Roman"/>
                <w:sz w:val="24"/>
                <w:szCs w:val="24"/>
              </w:rPr>
              <w:lastRenderedPageBreak/>
              <w:t>acuíferos de agua dulce, los pozos poseen un triple encamisado de agua dulce y una cobertura de cemento hasta los 700 metros de profundidad y se mantienen 2 barreras de protección hasta los 3.000 metros.</w:t>
            </w:r>
          </w:p>
          <w:p w14:paraId="11895CC7" w14:textId="18615964" w:rsidR="00943E14" w:rsidRPr="00651640" w:rsidRDefault="00943E14" w:rsidP="00943E14">
            <w:pPr>
              <w:spacing w:line="360" w:lineRule="auto"/>
              <w:jc w:val="both"/>
              <w:rPr>
                <w:rFonts w:ascii="Times New Roman" w:hAnsi="Times New Roman" w:cs="Times New Roman"/>
                <w:sz w:val="24"/>
                <w:szCs w:val="24"/>
              </w:rPr>
            </w:pPr>
            <w:r>
              <w:rPr>
                <w:rFonts w:ascii="Times New Roman" w:hAnsi="Times New Roman" w:cs="Times New Roman"/>
                <w:sz w:val="24"/>
                <w:szCs w:val="24"/>
              </w:rPr>
              <w:t>En 2021, el agua vertida por la empresa tuvo una disminución interanual del 2,8%. El 100% de los vertidos reciben tratamiento.</w:t>
            </w:r>
          </w:p>
        </w:tc>
      </w:tr>
      <w:tr w:rsidR="00943E14" w:rsidRPr="0090006C" w14:paraId="53F17582" w14:textId="77777777" w:rsidTr="0090006C">
        <w:tc>
          <w:tcPr>
            <w:tcW w:w="7774" w:type="dxa"/>
          </w:tcPr>
          <w:p w14:paraId="5F5ED3D5" w14:textId="05A5521C" w:rsidR="00943E14" w:rsidRPr="00943E14" w:rsidRDefault="00943E14" w:rsidP="00943E1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Inversión: </w:t>
            </w:r>
            <w:r>
              <w:rPr>
                <w:rFonts w:ascii="Times New Roman" w:hAnsi="Times New Roman" w:cs="Times New Roman"/>
                <w:sz w:val="24"/>
                <w:szCs w:val="24"/>
              </w:rPr>
              <w:t>no se indican cifras de inversión en relación a estos conceptos.</w:t>
            </w:r>
          </w:p>
        </w:tc>
      </w:tr>
      <w:tr w:rsidR="00FD0C6F" w:rsidRPr="0090006C" w14:paraId="46E6F12C" w14:textId="77777777" w:rsidTr="00940EA5">
        <w:tc>
          <w:tcPr>
            <w:tcW w:w="7774" w:type="dxa"/>
            <w:shd w:val="clear" w:color="auto" w:fill="D0CECE" w:themeFill="background2" w:themeFillShade="E6"/>
          </w:tcPr>
          <w:p w14:paraId="7CC25940" w14:textId="428ACFCA" w:rsidR="00FD0C6F" w:rsidRDefault="00FD0C6F" w:rsidP="00943E14">
            <w:pPr>
              <w:spacing w:line="360" w:lineRule="auto"/>
              <w:jc w:val="both"/>
              <w:rPr>
                <w:rFonts w:ascii="Times New Roman" w:hAnsi="Times New Roman" w:cs="Times New Roman"/>
                <w:b/>
                <w:sz w:val="24"/>
                <w:szCs w:val="24"/>
              </w:rPr>
            </w:pPr>
            <w:r>
              <w:rPr>
                <w:rFonts w:ascii="Times New Roman" w:hAnsi="Times New Roman" w:cs="Times New Roman"/>
                <w:b/>
                <w:sz w:val="24"/>
                <w:szCs w:val="24"/>
              </w:rPr>
              <w:t>MOLINOS AGRO S.A.</w:t>
            </w:r>
          </w:p>
        </w:tc>
      </w:tr>
      <w:tr w:rsidR="00FD0C6F" w:rsidRPr="0090006C" w14:paraId="15D5AC07" w14:textId="77777777" w:rsidTr="0090006C">
        <w:tc>
          <w:tcPr>
            <w:tcW w:w="7774" w:type="dxa"/>
          </w:tcPr>
          <w:p w14:paraId="08C2020F" w14:textId="5F2A89EE" w:rsidR="00FD0C6F" w:rsidRPr="00FD0C6F" w:rsidRDefault="00FD0C6F" w:rsidP="00943E1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Estrategia: </w:t>
            </w:r>
            <w:r>
              <w:rPr>
                <w:rFonts w:ascii="Times New Roman" w:hAnsi="Times New Roman" w:cs="Times New Roman"/>
                <w:sz w:val="24"/>
                <w:szCs w:val="24"/>
              </w:rPr>
              <w:t xml:space="preserve">como uno de los ejes de su gestión de sustentabilidad, se encuentra el uso eficiente de los recursos y el cuidado ambiental. En 2021, la compañía llevó a cabo una revisión de su ¨Matriz de materialidad¨, donde la disponibilidad, gestión de aguas y efluentes </w:t>
            </w:r>
            <w:r w:rsidR="00940EA5">
              <w:rPr>
                <w:rFonts w:ascii="Times New Roman" w:hAnsi="Times New Roman" w:cs="Times New Roman"/>
                <w:sz w:val="24"/>
                <w:szCs w:val="24"/>
              </w:rPr>
              <w:t xml:space="preserve">ocupa un lugar destacado. </w:t>
            </w:r>
          </w:p>
        </w:tc>
      </w:tr>
      <w:tr w:rsidR="00940EA5" w:rsidRPr="0090006C" w14:paraId="323B5E6F" w14:textId="77777777" w:rsidTr="0090006C">
        <w:tc>
          <w:tcPr>
            <w:tcW w:w="7774" w:type="dxa"/>
          </w:tcPr>
          <w:p w14:paraId="0A7B2B5E" w14:textId="566F8165" w:rsidR="00940EA5" w:rsidRPr="00940EA5" w:rsidRDefault="00940EA5" w:rsidP="00940EA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Adhesión al ODS 6: </w:t>
            </w:r>
            <w:r>
              <w:rPr>
                <w:rFonts w:ascii="Times New Roman" w:hAnsi="Times New Roman" w:cs="Times New Roman"/>
                <w:sz w:val="24"/>
                <w:szCs w:val="24"/>
              </w:rPr>
              <w:t>en forma explícita en su Reporte de Sustentabilidad, mediante el objetivo de disminuir el consumo de agua y el tratamiento de efluentes.</w:t>
            </w:r>
          </w:p>
        </w:tc>
      </w:tr>
      <w:tr w:rsidR="00940EA5" w:rsidRPr="0090006C" w14:paraId="51846F52" w14:textId="77777777" w:rsidTr="0090006C">
        <w:tc>
          <w:tcPr>
            <w:tcW w:w="7774" w:type="dxa"/>
          </w:tcPr>
          <w:p w14:paraId="1BB38866" w14:textId="0F540420" w:rsidR="00940EA5" w:rsidRPr="00940EA5" w:rsidRDefault="00940EA5" w:rsidP="009A3ED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IDS garantizar disponibilidad de agua, su gestión sostenible y tratamiento de efluentes: </w:t>
            </w:r>
            <w:r>
              <w:rPr>
                <w:rFonts w:ascii="Times New Roman" w:hAnsi="Times New Roman" w:cs="Times New Roman"/>
                <w:sz w:val="24"/>
                <w:szCs w:val="24"/>
              </w:rPr>
              <w:t xml:space="preserve">extracción total de agua: 2.192.554 m3. Vertido total de agua: 452.202 m3. Posee una moderna planta de tratamiento de efluentes compuesta por un sistema de tratamiento físico, químico y biológico, que garantiza el correcto tratamiento de todos los residuos industriales. </w:t>
            </w:r>
          </w:p>
        </w:tc>
      </w:tr>
      <w:tr w:rsidR="004C0C00" w:rsidRPr="0090006C" w14:paraId="387CDD6B" w14:textId="77777777" w:rsidTr="0090006C">
        <w:tc>
          <w:tcPr>
            <w:tcW w:w="7774" w:type="dxa"/>
          </w:tcPr>
          <w:p w14:paraId="01D08B4E" w14:textId="7D2B7AC8" w:rsidR="004C0C00" w:rsidRPr="004C0C00" w:rsidRDefault="004C0C00" w:rsidP="004C0C0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Inversiones: </w:t>
            </w:r>
            <w:r>
              <w:rPr>
                <w:rFonts w:ascii="Times New Roman" w:hAnsi="Times New Roman" w:cs="Times New Roman"/>
                <w:sz w:val="24"/>
                <w:szCs w:val="24"/>
              </w:rPr>
              <w:t>U$S 446.000 en obras de adecuación y mantenimiento de la planta de efluentes.</w:t>
            </w:r>
          </w:p>
        </w:tc>
      </w:tr>
      <w:tr w:rsidR="004C0C00" w:rsidRPr="0090006C" w14:paraId="719959B8" w14:textId="77777777" w:rsidTr="004C0C00">
        <w:tc>
          <w:tcPr>
            <w:tcW w:w="7774" w:type="dxa"/>
            <w:shd w:val="clear" w:color="auto" w:fill="D0CECE" w:themeFill="background2" w:themeFillShade="E6"/>
          </w:tcPr>
          <w:p w14:paraId="3E1CCAB5" w14:textId="79479D51" w:rsidR="004C0C00" w:rsidRDefault="004C0C00" w:rsidP="004C0C00">
            <w:pPr>
              <w:spacing w:line="360" w:lineRule="auto"/>
              <w:jc w:val="both"/>
              <w:rPr>
                <w:rFonts w:ascii="Times New Roman" w:hAnsi="Times New Roman" w:cs="Times New Roman"/>
                <w:b/>
                <w:sz w:val="24"/>
                <w:szCs w:val="24"/>
              </w:rPr>
            </w:pPr>
            <w:r>
              <w:rPr>
                <w:rFonts w:ascii="Times New Roman" w:hAnsi="Times New Roman" w:cs="Times New Roman"/>
                <w:b/>
                <w:sz w:val="24"/>
                <w:szCs w:val="24"/>
              </w:rPr>
              <w:t>TERNIUM ARGENTINA S.A.</w:t>
            </w:r>
          </w:p>
        </w:tc>
      </w:tr>
      <w:tr w:rsidR="004C0C00" w:rsidRPr="0090006C" w14:paraId="6127E476" w14:textId="77777777" w:rsidTr="0090006C">
        <w:tc>
          <w:tcPr>
            <w:tcW w:w="7774" w:type="dxa"/>
          </w:tcPr>
          <w:p w14:paraId="68C17810" w14:textId="1846A998" w:rsidR="004C0C00" w:rsidRPr="004C0C00" w:rsidRDefault="004C0C00" w:rsidP="004C0C0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Estrategia: </w:t>
            </w:r>
            <w:r>
              <w:rPr>
                <w:rFonts w:ascii="Times New Roman" w:hAnsi="Times New Roman" w:cs="Times New Roman"/>
                <w:sz w:val="24"/>
                <w:szCs w:val="24"/>
              </w:rPr>
              <w:t>la empresa se encuentra comprometida con una gestión de operaciones que protejan el planeta y tengan un impacto positivo en las comunidades.</w:t>
            </w:r>
          </w:p>
        </w:tc>
      </w:tr>
      <w:tr w:rsidR="004C0C00" w:rsidRPr="0090006C" w14:paraId="00936839" w14:textId="77777777" w:rsidTr="0090006C">
        <w:tc>
          <w:tcPr>
            <w:tcW w:w="7774" w:type="dxa"/>
          </w:tcPr>
          <w:p w14:paraId="0EB994F0" w14:textId="7E23F0D6" w:rsidR="004C0C00" w:rsidRPr="004C0C00" w:rsidRDefault="004C0C00" w:rsidP="004C0C0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Adhesión al ODS 6: </w:t>
            </w:r>
            <w:r>
              <w:rPr>
                <w:rFonts w:ascii="Times New Roman" w:hAnsi="Times New Roman" w:cs="Times New Roman"/>
                <w:sz w:val="24"/>
                <w:szCs w:val="24"/>
              </w:rPr>
              <w:t>en su Reporte de Sustentabilidad hace referencia a su adhesión. Entre sus objetivos clave se encuentra el de uso responsable de los recursos naturales.</w:t>
            </w:r>
            <w:r w:rsidR="008F2565">
              <w:rPr>
                <w:rFonts w:ascii="Times New Roman" w:hAnsi="Times New Roman" w:cs="Times New Roman"/>
                <w:sz w:val="24"/>
                <w:szCs w:val="24"/>
              </w:rPr>
              <w:t xml:space="preserve"> Tiene como meta reducir la huella ambiental. </w:t>
            </w:r>
          </w:p>
        </w:tc>
      </w:tr>
      <w:tr w:rsidR="004C0C00" w:rsidRPr="0090006C" w14:paraId="27008566" w14:textId="77777777" w:rsidTr="0090006C">
        <w:tc>
          <w:tcPr>
            <w:tcW w:w="7774" w:type="dxa"/>
          </w:tcPr>
          <w:p w14:paraId="0ED1F068" w14:textId="1A2729B9" w:rsidR="004C0C00" w:rsidRPr="004C0C00" w:rsidRDefault="004C0C00" w:rsidP="009A3ED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IDS garantizar disponibilidad de agua, su gestión sostenible y tratamiento de efluentes: </w:t>
            </w:r>
            <w:r w:rsidR="00506C61">
              <w:rPr>
                <w:rFonts w:ascii="Times New Roman" w:hAnsi="Times New Roman" w:cs="Times New Roman"/>
                <w:sz w:val="24"/>
                <w:szCs w:val="24"/>
              </w:rPr>
              <w:t xml:space="preserve">Toma de agua (incluyendo centrales eléctricas): 157 millones de m3; </w:t>
            </w:r>
            <w:r w:rsidR="00BD06E6">
              <w:rPr>
                <w:rFonts w:ascii="Times New Roman" w:hAnsi="Times New Roman" w:cs="Times New Roman"/>
                <w:sz w:val="24"/>
                <w:szCs w:val="24"/>
              </w:rPr>
              <w:t xml:space="preserve">% de agua extraída en regiones con estrés hídrico de base alta o extremadamente alta: 11%; agua consumida </w:t>
            </w:r>
            <w:r w:rsidR="0020633A">
              <w:rPr>
                <w:rFonts w:ascii="Times New Roman" w:hAnsi="Times New Roman" w:cs="Times New Roman"/>
                <w:sz w:val="24"/>
                <w:szCs w:val="24"/>
              </w:rPr>
              <w:t>estimada</w:t>
            </w:r>
            <w:r w:rsidR="00BD06E6">
              <w:rPr>
                <w:rFonts w:ascii="Times New Roman" w:hAnsi="Times New Roman" w:cs="Times New Roman"/>
                <w:sz w:val="24"/>
                <w:szCs w:val="24"/>
              </w:rPr>
              <w:t xml:space="preserve"> de Ternium (excluyendo centrales e</w:t>
            </w:r>
            <w:r w:rsidR="0020633A">
              <w:rPr>
                <w:rFonts w:ascii="Times New Roman" w:hAnsi="Times New Roman" w:cs="Times New Roman"/>
                <w:sz w:val="24"/>
                <w:szCs w:val="24"/>
              </w:rPr>
              <w:t xml:space="preserve">léctricas): 44,1 millones de m3; % de agua consumida en zonas con </w:t>
            </w:r>
            <w:r w:rsidR="0020633A">
              <w:rPr>
                <w:rFonts w:ascii="Times New Roman" w:hAnsi="Times New Roman" w:cs="Times New Roman"/>
                <w:sz w:val="24"/>
                <w:szCs w:val="24"/>
              </w:rPr>
              <w:lastRenderedPageBreak/>
              <w:t>estrés hídrico de base alta o extremadamente alta: 27%.;</w:t>
            </w:r>
            <w:r w:rsidR="008F2565">
              <w:rPr>
                <w:rFonts w:ascii="Times New Roman" w:hAnsi="Times New Roman" w:cs="Times New Roman"/>
                <w:sz w:val="24"/>
                <w:szCs w:val="24"/>
              </w:rPr>
              <w:t xml:space="preserve">toma de agua </w:t>
            </w:r>
            <w:r w:rsidR="0020633A">
              <w:rPr>
                <w:rFonts w:ascii="Times New Roman" w:hAnsi="Times New Roman" w:cs="Times New Roman"/>
                <w:sz w:val="24"/>
                <w:szCs w:val="24"/>
              </w:rPr>
              <w:t xml:space="preserve"> </w:t>
            </w:r>
            <w:r w:rsidR="008F2565">
              <w:rPr>
                <w:rFonts w:ascii="Times New Roman" w:hAnsi="Times New Roman" w:cs="Times New Roman"/>
                <w:sz w:val="24"/>
                <w:szCs w:val="24"/>
              </w:rPr>
              <w:t xml:space="preserve">para </w:t>
            </w:r>
            <w:r w:rsidR="0020633A">
              <w:rPr>
                <w:rFonts w:ascii="Times New Roman" w:hAnsi="Times New Roman" w:cs="Times New Roman"/>
                <w:sz w:val="24"/>
                <w:szCs w:val="24"/>
              </w:rPr>
              <w:t xml:space="preserve"> plantas siderúrgicas</w:t>
            </w:r>
            <w:r w:rsidR="008F2565">
              <w:rPr>
                <w:rFonts w:ascii="Times New Roman" w:hAnsi="Times New Roman" w:cs="Times New Roman"/>
                <w:sz w:val="24"/>
                <w:szCs w:val="24"/>
              </w:rPr>
              <w:t>: 149,6 millones de m3; intensidad de agua para las plantas siderúrgicas: 141,1 millones de m3/t de acero crudo</w:t>
            </w:r>
            <w:r w:rsidR="009A3ED1">
              <w:rPr>
                <w:rFonts w:ascii="Times New Roman" w:hAnsi="Times New Roman" w:cs="Times New Roman"/>
                <w:sz w:val="24"/>
                <w:szCs w:val="24"/>
              </w:rPr>
              <w:t xml:space="preserve">. </w:t>
            </w:r>
            <w:r w:rsidR="008F2565">
              <w:rPr>
                <w:rFonts w:ascii="Times New Roman" w:hAnsi="Times New Roman" w:cs="Times New Roman"/>
                <w:sz w:val="24"/>
                <w:szCs w:val="24"/>
              </w:rPr>
              <w:t xml:space="preserve">En Planta </w:t>
            </w:r>
            <w:proofErr w:type="spellStart"/>
            <w:r w:rsidR="008F2565">
              <w:rPr>
                <w:rFonts w:ascii="Times New Roman" w:hAnsi="Times New Roman" w:cs="Times New Roman"/>
                <w:sz w:val="24"/>
                <w:szCs w:val="24"/>
              </w:rPr>
              <w:t>Pesqueira</w:t>
            </w:r>
            <w:proofErr w:type="spellEnd"/>
            <w:r w:rsidR="008F2565">
              <w:rPr>
                <w:rFonts w:ascii="Times New Roman" w:hAnsi="Times New Roman" w:cs="Times New Roman"/>
                <w:sz w:val="24"/>
                <w:szCs w:val="24"/>
              </w:rPr>
              <w:t xml:space="preserve"> utiliza aguas residuales para cubrir el 96% de sus necesidades. Alrededor del 84% de la extracción de agua se limpia, enfría y devuelve a la fuente</w:t>
            </w:r>
            <w:r w:rsidR="009A3ED1">
              <w:rPr>
                <w:rFonts w:ascii="Times New Roman" w:hAnsi="Times New Roman" w:cs="Times New Roman"/>
                <w:sz w:val="24"/>
                <w:szCs w:val="24"/>
              </w:rPr>
              <w:t>.</w:t>
            </w:r>
            <w:r w:rsidR="008F2565">
              <w:rPr>
                <w:rFonts w:ascii="Times New Roman" w:hAnsi="Times New Roman" w:cs="Times New Roman"/>
                <w:sz w:val="24"/>
                <w:szCs w:val="24"/>
              </w:rPr>
              <w:t xml:space="preserve"> </w:t>
            </w:r>
          </w:p>
        </w:tc>
      </w:tr>
      <w:tr w:rsidR="001512B0" w:rsidRPr="0090006C" w14:paraId="3564A0BA" w14:textId="77777777" w:rsidTr="0090006C">
        <w:tc>
          <w:tcPr>
            <w:tcW w:w="7774" w:type="dxa"/>
          </w:tcPr>
          <w:p w14:paraId="7AFC2000" w14:textId="350AC807" w:rsidR="001512B0" w:rsidRPr="001512B0" w:rsidRDefault="001512B0" w:rsidP="008F2565">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Inversiones: </w:t>
            </w:r>
            <w:r>
              <w:rPr>
                <w:rFonts w:ascii="Times New Roman" w:hAnsi="Times New Roman" w:cs="Times New Roman"/>
                <w:sz w:val="24"/>
                <w:szCs w:val="24"/>
              </w:rPr>
              <w:t>no se exponen cifras relacionada con inversiones para los fines analizados.</w:t>
            </w:r>
          </w:p>
        </w:tc>
      </w:tr>
      <w:tr w:rsidR="001512B0" w:rsidRPr="0090006C" w14:paraId="247055F2" w14:textId="77777777" w:rsidTr="00490438">
        <w:tc>
          <w:tcPr>
            <w:tcW w:w="7774" w:type="dxa"/>
            <w:shd w:val="clear" w:color="auto" w:fill="D0CECE" w:themeFill="background2" w:themeFillShade="E6"/>
          </w:tcPr>
          <w:p w14:paraId="5370AB81" w14:textId="53EE03EA" w:rsidR="001512B0" w:rsidRDefault="001512B0" w:rsidP="008F2565">
            <w:pPr>
              <w:spacing w:line="360" w:lineRule="auto"/>
              <w:jc w:val="both"/>
              <w:rPr>
                <w:rFonts w:ascii="Times New Roman" w:hAnsi="Times New Roman" w:cs="Times New Roman"/>
                <w:b/>
                <w:sz w:val="24"/>
                <w:szCs w:val="24"/>
              </w:rPr>
            </w:pPr>
            <w:r>
              <w:rPr>
                <w:rFonts w:ascii="Times New Roman" w:hAnsi="Times New Roman" w:cs="Times New Roman"/>
                <w:b/>
                <w:sz w:val="24"/>
                <w:szCs w:val="24"/>
              </w:rPr>
              <w:t>HOLCIM (ARGENTINA) S.A.</w:t>
            </w:r>
          </w:p>
        </w:tc>
      </w:tr>
      <w:tr w:rsidR="001512B0" w:rsidRPr="0090006C" w14:paraId="1544946C" w14:textId="77777777" w:rsidTr="0090006C">
        <w:tc>
          <w:tcPr>
            <w:tcW w:w="7774" w:type="dxa"/>
          </w:tcPr>
          <w:p w14:paraId="27236E20" w14:textId="40CCC75F" w:rsidR="001512B0" w:rsidRPr="00490438" w:rsidRDefault="001512B0" w:rsidP="008F256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Estrategia: </w:t>
            </w:r>
            <w:r w:rsidR="00490438">
              <w:rPr>
                <w:rFonts w:ascii="Times New Roman" w:hAnsi="Times New Roman" w:cs="Times New Roman"/>
                <w:sz w:val="24"/>
                <w:szCs w:val="24"/>
              </w:rPr>
              <w:t>la empresa busca convertirse en líder global de soluciones en construcción innovadoras y sostenibles. Ser líderes en sostenibilidad.</w:t>
            </w:r>
          </w:p>
        </w:tc>
      </w:tr>
      <w:tr w:rsidR="00490438" w:rsidRPr="0090006C" w14:paraId="23A63C78" w14:textId="77777777" w:rsidTr="0090006C">
        <w:tc>
          <w:tcPr>
            <w:tcW w:w="7774" w:type="dxa"/>
          </w:tcPr>
          <w:p w14:paraId="038F185C" w14:textId="6B870DA4" w:rsidR="00490438" w:rsidRPr="00490438" w:rsidRDefault="00490438" w:rsidP="008F256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Adhesión al ODS 6: </w:t>
            </w:r>
            <w:r>
              <w:rPr>
                <w:rFonts w:ascii="Times New Roman" w:hAnsi="Times New Roman" w:cs="Times New Roman"/>
                <w:sz w:val="24"/>
                <w:szCs w:val="24"/>
              </w:rPr>
              <w:t xml:space="preserve">declara como un tema altamente importante la gestión de aguas y efluentes. </w:t>
            </w:r>
          </w:p>
        </w:tc>
      </w:tr>
      <w:tr w:rsidR="00490438" w:rsidRPr="0090006C" w14:paraId="114BCB3C" w14:textId="77777777" w:rsidTr="0090006C">
        <w:tc>
          <w:tcPr>
            <w:tcW w:w="7774" w:type="dxa"/>
          </w:tcPr>
          <w:p w14:paraId="5CD5CDFA" w14:textId="22096C3B" w:rsidR="00490438" w:rsidRPr="00490438" w:rsidRDefault="00490438" w:rsidP="009A3ED1">
            <w:pPr>
              <w:spacing w:line="360" w:lineRule="auto"/>
              <w:jc w:val="both"/>
              <w:rPr>
                <w:rFonts w:ascii="Times New Roman" w:hAnsi="Times New Roman" w:cs="Times New Roman"/>
                <w:sz w:val="24"/>
                <w:szCs w:val="24"/>
              </w:rPr>
            </w:pPr>
            <w:r>
              <w:rPr>
                <w:rFonts w:ascii="Times New Roman" w:hAnsi="Times New Roman" w:cs="Times New Roman"/>
                <w:b/>
                <w:sz w:val="24"/>
                <w:szCs w:val="24"/>
              </w:rPr>
              <w:t>IDS garantizar disponibilidad de agua, su gestión sostenible y tratamiento de efluentes:</w:t>
            </w:r>
            <w:r>
              <w:rPr>
                <w:rFonts w:ascii="Times New Roman" w:hAnsi="Times New Roman" w:cs="Times New Roman"/>
                <w:sz w:val="24"/>
                <w:szCs w:val="24"/>
              </w:rPr>
              <w:t xml:space="preserve"> reducción de 38,9 millones de litros de agua. Ello representa una disminución del 4,7% en comparación con el objetivo propuesto. </w:t>
            </w:r>
            <w:r w:rsidR="00B375AA">
              <w:rPr>
                <w:rFonts w:ascii="Times New Roman" w:hAnsi="Times New Roman" w:cs="Times New Roman"/>
                <w:sz w:val="24"/>
                <w:szCs w:val="24"/>
              </w:rPr>
              <w:t xml:space="preserve">No hay información disponible sobre extracción de agua (GRI standard 303-3). </w:t>
            </w:r>
          </w:p>
        </w:tc>
      </w:tr>
      <w:tr w:rsidR="00B375AA" w:rsidRPr="0090006C" w14:paraId="21A57A03" w14:textId="77777777" w:rsidTr="0090006C">
        <w:tc>
          <w:tcPr>
            <w:tcW w:w="7774" w:type="dxa"/>
          </w:tcPr>
          <w:p w14:paraId="7A1F6653" w14:textId="32E9933C" w:rsidR="00B375AA" w:rsidRPr="00B375AA" w:rsidRDefault="00B375AA" w:rsidP="00B375A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Inversiones: </w:t>
            </w:r>
            <w:r>
              <w:rPr>
                <w:rFonts w:ascii="Times New Roman" w:hAnsi="Times New Roman" w:cs="Times New Roman"/>
                <w:sz w:val="24"/>
                <w:szCs w:val="24"/>
              </w:rPr>
              <w:t>no se brinda información cuantificada a este respecto.</w:t>
            </w:r>
          </w:p>
        </w:tc>
      </w:tr>
      <w:tr w:rsidR="00B375AA" w:rsidRPr="0090006C" w14:paraId="66978199" w14:textId="77777777" w:rsidTr="00FA0F93">
        <w:tc>
          <w:tcPr>
            <w:tcW w:w="7774" w:type="dxa"/>
            <w:shd w:val="clear" w:color="auto" w:fill="D0CECE" w:themeFill="background2" w:themeFillShade="E6"/>
          </w:tcPr>
          <w:p w14:paraId="464BD782" w14:textId="0BF7E16A" w:rsidR="00B375AA" w:rsidRDefault="00B375AA" w:rsidP="00B375AA">
            <w:pPr>
              <w:spacing w:line="360" w:lineRule="auto"/>
              <w:jc w:val="both"/>
              <w:rPr>
                <w:rFonts w:ascii="Times New Roman" w:hAnsi="Times New Roman" w:cs="Times New Roman"/>
                <w:b/>
                <w:sz w:val="24"/>
                <w:szCs w:val="24"/>
              </w:rPr>
            </w:pPr>
            <w:r>
              <w:rPr>
                <w:rFonts w:ascii="Times New Roman" w:hAnsi="Times New Roman" w:cs="Times New Roman"/>
                <w:b/>
                <w:sz w:val="24"/>
                <w:szCs w:val="24"/>
              </w:rPr>
              <w:t>TOYOTA ARGENTINA S.A.</w:t>
            </w:r>
          </w:p>
        </w:tc>
      </w:tr>
      <w:tr w:rsidR="00B375AA" w:rsidRPr="0090006C" w14:paraId="1CBE684C" w14:textId="77777777" w:rsidTr="0090006C">
        <w:tc>
          <w:tcPr>
            <w:tcW w:w="7774" w:type="dxa"/>
          </w:tcPr>
          <w:p w14:paraId="787ADEB3" w14:textId="686BA249" w:rsidR="00B375AA" w:rsidRPr="00B375AA" w:rsidRDefault="00B375AA" w:rsidP="00B375A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Estrategia: </w:t>
            </w:r>
            <w:r w:rsidR="00383802">
              <w:rPr>
                <w:rFonts w:ascii="Times New Roman" w:hAnsi="Times New Roman" w:cs="Times New Roman"/>
                <w:sz w:val="24"/>
                <w:szCs w:val="24"/>
              </w:rPr>
              <w:t>la empresa se compromete a la mejora de la calidad de vida en el mundo, asumiendo un compromiso con el desarrollo sostenible.</w:t>
            </w:r>
          </w:p>
        </w:tc>
      </w:tr>
      <w:tr w:rsidR="00383802" w:rsidRPr="0090006C" w14:paraId="4590941D" w14:textId="77777777" w:rsidTr="0090006C">
        <w:tc>
          <w:tcPr>
            <w:tcW w:w="7774" w:type="dxa"/>
          </w:tcPr>
          <w:p w14:paraId="517D0E0B" w14:textId="5F608A98" w:rsidR="00383802" w:rsidRPr="00383802" w:rsidRDefault="00383802" w:rsidP="00B375A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Adhesión al ODS 6: </w:t>
            </w:r>
            <w:r>
              <w:rPr>
                <w:rFonts w:ascii="Times New Roman" w:hAnsi="Times New Roman" w:cs="Times New Roman"/>
                <w:sz w:val="24"/>
                <w:szCs w:val="24"/>
              </w:rPr>
              <w:t>resulta relevante para la compañía, la gestión de aguas y efluentes.</w:t>
            </w:r>
          </w:p>
        </w:tc>
      </w:tr>
      <w:tr w:rsidR="00FA0F93" w:rsidRPr="0090006C" w14:paraId="11D1A8E3" w14:textId="77777777" w:rsidTr="0090006C">
        <w:tc>
          <w:tcPr>
            <w:tcW w:w="7774" w:type="dxa"/>
          </w:tcPr>
          <w:p w14:paraId="4D034743" w14:textId="3499225B" w:rsidR="00FA0F93" w:rsidRPr="00FA0F93" w:rsidRDefault="00FA0F93" w:rsidP="00B375A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IDS garantizar disponibilidad de agua, su gestión sostenible y tratamiento de efluentes: </w:t>
            </w:r>
            <w:r>
              <w:rPr>
                <w:rFonts w:ascii="Times New Roman" w:hAnsi="Times New Roman" w:cs="Times New Roman"/>
                <w:sz w:val="24"/>
                <w:szCs w:val="24"/>
              </w:rPr>
              <w:t>consumo de agua por vehículo: 3,539 m3. Extracción de agua subterránea: 273.822 m3; aguas de reúso de efluentes tratados: 62.909 m3. Vertidos en m3= 183.309.</w:t>
            </w:r>
            <w:r w:rsidR="0042648A">
              <w:rPr>
                <w:rFonts w:ascii="Times New Roman" w:hAnsi="Times New Roman" w:cs="Times New Roman"/>
                <w:sz w:val="24"/>
                <w:szCs w:val="24"/>
              </w:rPr>
              <w:t xml:space="preserve"> Objetivo 2025: reducir el consumo de agua en Planta Zárate respecto de 2019.</w:t>
            </w:r>
          </w:p>
        </w:tc>
      </w:tr>
      <w:tr w:rsidR="0042648A" w:rsidRPr="0090006C" w14:paraId="77447F6C" w14:textId="77777777" w:rsidTr="0090006C">
        <w:tc>
          <w:tcPr>
            <w:tcW w:w="7774" w:type="dxa"/>
          </w:tcPr>
          <w:p w14:paraId="1A8EE71A" w14:textId="49852B29" w:rsidR="0042648A" w:rsidRPr="0042648A" w:rsidRDefault="0042648A" w:rsidP="00B375A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Inversión: </w:t>
            </w:r>
            <w:r>
              <w:rPr>
                <w:rFonts w:ascii="Times New Roman" w:hAnsi="Times New Roman" w:cs="Times New Roman"/>
                <w:sz w:val="24"/>
                <w:szCs w:val="24"/>
              </w:rPr>
              <w:t xml:space="preserve">no se exponen importes para el concepto de referencia. </w:t>
            </w:r>
          </w:p>
        </w:tc>
      </w:tr>
    </w:tbl>
    <w:p w14:paraId="62F7660B" w14:textId="6E325267" w:rsidR="00FA2509" w:rsidRPr="00F7414D" w:rsidRDefault="00FA2509" w:rsidP="00F7414D">
      <w:pPr>
        <w:spacing w:line="360" w:lineRule="auto"/>
        <w:ind w:left="720"/>
        <w:jc w:val="both"/>
        <w:rPr>
          <w:rFonts w:ascii="Times New Roman" w:hAnsi="Times New Roman" w:cs="Times New Roman"/>
          <w:sz w:val="24"/>
          <w:szCs w:val="24"/>
        </w:rPr>
      </w:pPr>
    </w:p>
    <w:p w14:paraId="52A3DBFB" w14:textId="1B901A3A" w:rsidR="00355F37" w:rsidRDefault="00355F37" w:rsidP="007B5EDF">
      <w:pPr>
        <w:widowControl w:val="0"/>
        <w:tabs>
          <w:tab w:val="left" w:pos="721"/>
        </w:tabs>
        <w:autoSpaceDE w:val="0"/>
        <w:autoSpaceDN w:val="0"/>
        <w:spacing w:line="360" w:lineRule="auto"/>
        <w:ind w:left="720" w:hanging="720"/>
        <w:jc w:val="both"/>
        <w:rPr>
          <w:rFonts w:ascii="Times New Roman" w:eastAsia="Trebuchet MS" w:hAnsi="Times New Roman" w:cs="Times New Roman"/>
          <w:b/>
          <w:color w:val="5C6065"/>
          <w:w w:val="90"/>
          <w:sz w:val="24"/>
          <w:szCs w:val="24"/>
          <w:lang w:val="es-ES"/>
        </w:rPr>
      </w:pPr>
      <w:r>
        <w:rPr>
          <w:rFonts w:ascii="Times New Roman" w:eastAsia="Trebuchet MS" w:hAnsi="Times New Roman" w:cs="Times New Roman"/>
          <w:b/>
          <w:color w:val="5C6065"/>
          <w:w w:val="90"/>
          <w:sz w:val="24"/>
          <w:szCs w:val="24"/>
          <w:lang w:val="es-ES"/>
        </w:rPr>
        <w:t>Conc</w:t>
      </w:r>
      <w:r w:rsidR="0071702B">
        <w:rPr>
          <w:rFonts w:ascii="Times New Roman" w:eastAsia="Trebuchet MS" w:hAnsi="Times New Roman" w:cs="Times New Roman"/>
          <w:b/>
          <w:color w:val="5C6065"/>
          <w:w w:val="90"/>
          <w:sz w:val="24"/>
          <w:szCs w:val="24"/>
          <w:lang w:val="es-ES"/>
        </w:rPr>
        <w:t>l</w:t>
      </w:r>
      <w:r>
        <w:rPr>
          <w:rFonts w:ascii="Times New Roman" w:eastAsia="Trebuchet MS" w:hAnsi="Times New Roman" w:cs="Times New Roman"/>
          <w:b/>
          <w:color w:val="5C6065"/>
          <w:w w:val="90"/>
          <w:sz w:val="24"/>
          <w:szCs w:val="24"/>
          <w:lang w:val="es-ES"/>
        </w:rPr>
        <w:t>usiones y recomendaciones</w:t>
      </w:r>
    </w:p>
    <w:p w14:paraId="2BA982EE" w14:textId="63F1EAE2" w:rsidR="002700FA" w:rsidRPr="00C74D67" w:rsidRDefault="006F33CE" w:rsidP="007B5EDF">
      <w:pPr>
        <w:widowControl w:val="0"/>
        <w:tabs>
          <w:tab w:val="left" w:pos="721"/>
        </w:tabs>
        <w:autoSpaceDE w:val="0"/>
        <w:autoSpaceDN w:val="0"/>
        <w:spacing w:line="360" w:lineRule="auto"/>
        <w:ind w:left="720" w:hanging="720"/>
        <w:jc w:val="both"/>
        <w:rPr>
          <w:rFonts w:ascii="Times New Roman" w:eastAsia="Trebuchet MS" w:hAnsi="Times New Roman" w:cs="Times New Roman"/>
          <w:color w:val="5C6065"/>
          <w:w w:val="90"/>
          <w:sz w:val="24"/>
          <w:szCs w:val="24"/>
          <w:lang w:val="es-ES"/>
        </w:rPr>
      </w:pPr>
      <w:r w:rsidRPr="00C74D67">
        <w:rPr>
          <w:rFonts w:ascii="Times New Roman" w:eastAsia="Trebuchet MS" w:hAnsi="Times New Roman" w:cs="Times New Roman"/>
          <w:color w:val="5C6065"/>
          <w:w w:val="90"/>
          <w:sz w:val="24"/>
          <w:szCs w:val="24"/>
          <w:lang w:val="es-ES"/>
        </w:rPr>
        <w:t>De la investigación llevada a cabo puede concluirse que las revelaciones que surgen de los reportes de sustentabilidad</w:t>
      </w:r>
      <w:r w:rsidR="006607CE">
        <w:rPr>
          <w:rFonts w:ascii="Times New Roman" w:eastAsia="Trebuchet MS" w:hAnsi="Times New Roman" w:cs="Times New Roman"/>
          <w:color w:val="5C6065"/>
          <w:w w:val="90"/>
          <w:sz w:val="24"/>
          <w:szCs w:val="24"/>
          <w:lang w:val="es-ES"/>
        </w:rPr>
        <w:t>,</w:t>
      </w:r>
      <w:r w:rsidRPr="00C74D67">
        <w:rPr>
          <w:rFonts w:ascii="Times New Roman" w:eastAsia="Trebuchet MS" w:hAnsi="Times New Roman" w:cs="Times New Roman"/>
          <w:color w:val="5C6065"/>
          <w:w w:val="90"/>
          <w:sz w:val="24"/>
          <w:szCs w:val="24"/>
          <w:lang w:val="es-ES"/>
        </w:rPr>
        <w:t xml:space="preserve"> basados en los lineamientos de la GRI, demuestran estrategias de sustentabilidad que contribuyen al logro del objetivo propuesto en el ODS 6, tendiente a </w:t>
      </w:r>
      <w:r w:rsidRPr="00C74D67">
        <w:rPr>
          <w:rFonts w:ascii="Times New Roman" w:eastAsia="Trebuchet MS" w:hAnsi="Times New Roman" w:cs="Times New Roman"/>
          <w:color w:val="5C6065"/>
          <w:w w:val="90"/>
          <w:sz w:val="24"/>
          <w:szCs w:val="24"/>
          <w:lang w:val="es-ES"/>
        </w:rPr>
        <w:lastRenderedPageBreak/>
        <w:t>garantizar la disponibilidad de agua, su gestión sostenible y el tratamiento de efluentes. Ello se logra a través de indicadores relacionados con los objetivos o metas propuestos. Entre los analizados podemos citar los siguientes: huella hídrica, extracción y consumo de agua (subterránea, superficial, extraída</w:t>
      </w:r>
      <w:r w:rsidR="006607CE">
        <w:rPr>
          <w:rFonts w:ascii="Times New Roman" w:eastAsia="Trebuchet MS" w:hAnsi="Times New Roman" w:cs="Times New Roman"/>
          <w:color w:val="5C6065"/>
          <w:w w:val="90"/>
          <w:sz w:val="24"/>
          <w:szCs w:val="24"/>
          <w:lang w:val="es-ES"/>
        </w:rPr>
        <w:t xml:space="preserve"> </w:t>
      </w:r>
      <w:r w:rsidRPr="00C74D67">
        <w:rPr>
          <w:rFonts w:ascii="Times New Roman" w:eastAsia="Trebuchet MS" w:hAnsi="Times New Roman" w:cs="Times New Roman"/>
          <w:color w:val="5C6065"/>
          <w:w w:val="90"/>
          <w:sz w:val="24"/>
          <w:szCs w:val="24"/>
          <w:lang w:val="es-ES"/>
        </w:rPr>
        <w:t xml:space="preserve">/ </w:t>
      </w:r>
      <w:r w:rsidR="006607CE">
        <w:rPr>
          <w:rFonts w:ascii="Times New Roman" w:eastAsia="Trebuchet MS" w:hAnsi="Times New Roman" w:cs="Times New Roman"/>
          <w:color w:val="5C6065"/>
          <w:w w:val="90"/>
          <w:sz w:val="24"/>
          <w:szCs w:val="24"/>
          <w:lang w:val="es-ES"/>
        </w:rPr>
        <w:t>c</w:t>
      </w:r>
      <w:r w:rsidRPr="00C74D67">
        <w:rPr>
          <w:rFonts w:ascii="Times New Roman" w:eastAsia="Trebuchet MS" w:hAnsi="Times New Roman" w:cs="Times New Roman"/>
          <w:color w:val="5C6065"/>
          <w:w w:val="90"/>
          <w:sz w:val="24"/>
          <w:szCs w:val="24"/>
          <w:lang w:val="es-ES"/>
        </w:rPr>
        <w:t xml:space="preserve">onsumida de regiones de alto estrés hídrico, de reúso de efluentes tratados), cantidades de vertidos de agua, tratamientos de efluentes. </w:t>
      </w:r>
      <w:r w:rsidR="002700FA" w:rsidRPr="00C74D67">
        <w:rPr>
          <w:rFonts w:ascii="Times New Roman" w:eastAsia="Trebuchet MS" w:hAnsi="Times New Roman" w:cs="Times New Roman"/>
          <w:color w:val="5C6065"/>
          <w:w w:val="90"/>
          <w:sz w:val="24"/>
          <w:szCs w:val="24"/>
          <w:lang w:val="es-ES"/>
        </w:rPr>
        <w:t xml:space="preserve"> Estos indicadores de desempeño cuantitativos que presentan las revelaciones, muestran claramente cómo las empresas operan, sumando valor no sólo para las mismas, sino para todas las partes interesadas. No todas las empresas analizadas detallan los fondos que destinan a la inversión en proyectos vinculados al consumo de agua, su gestión y tratamiento de efluentes.</w:t>
      </w:r>
    </w:p>
    <w:p w14:paraId="7BB016D1" w14:textId="77777777" w:rsidR="00C74D67" w:rsidRPr="00C74D67" w:rsidRDefault="002700FA" w:rsidP="007B5EDF">
      <w:pPr>
        <w:widowControl w:val="0"/>
        <w:tabs>
          <w:tab w:val="left" w:pos="721"/>
        </w:tabs>
        <w:autoSpaceDE w:val="0"/>
        <w:autoSpaceDN w:val="0"/>
        <w:spacing w:line="360" w:lineRule="auto"/>
        <w:ind w:left="720" w:hanging="720"/>
        <w:jc w:val="both"/>
        <w:rPr>
          <w:rFonts w:ascii="Times New Roman" w:eastAsia="Trebuchet MS" w:hAnsi="Times New Roman" w:cs="Times New Roman"/>
          <w:color w:val="5C6065"/>
          <w:w w:val="90"/>
          <w:sz w:val="24"/>
          <w:szCs w:val="24"/>
          <w:lang w:val="es-ES"/>
        </w:rPr>
      </w:pPr>
      <w:r w:rsidRPr="00C74D67">
        <w:rPr>
          <w:rFonts w:ascii="Times New Roman" w:eastAsia="Trebuchet MS" w:hAnsi="Times New Roman" w:cs="Times New Roman"/>
          <w:color w:val="5C6065"/>
          <w:w w:val="90"/>
          <w:sz w:val="24"/>
          <w:szCs w:val="24"/>
          <w:lang w:val="es-ES"/>
        </w:rPr>
        <w:tab/>
        <w:t xml:space="preserve">Si bien la metodología propuesta por la GRI, el Pacto Global de Naciones Unidas y el </w:t>
      </w:r>
      <w:proofErr w:type="spellStart"/>
      <w:r w:rsidRPr="00C74D67">
        <w:rPr>
          <w:rFonts w:ascii="Times New Roman" w:eastAsia="Trebuchet MS" w:hAnsi="Times New Roman" w:cs="Times New Roman"/>
          <w:color w:val="5C6065"/>
          <w:w w:val="90"/>
          <w:sz w:val="24"/>
          <w:szCs w:val="24"/>
          <w:lang w:val="es-ES"/>
        </w:rPr>
        <w:t>World</w:t>
      </w:r>
      <w:proofErr w:type="spellEnd"/>
      <w:r w:rsidRPr="00C74D67">
        <w:rPr>
          <w:rFonts w:ascii="Times New Roman" w:eastAsia="Trebuchet MS" w:hAnsi="Times New Roman" w:cs="Times New Roman"/>
          <w:color w:val="5C6065"/>
          <w:w w:val="90"/>
          <w:sz w:val="24"/>
          <w:szCs w:val="24"/>
          <w:lang w:val="es-ES"/>
        </w:rPr>
        <w:t xml:space="preserve"> Business Council </w:t>
      </w:r>
      <w:proofErr w:type="spellStart"/>
      <w:r w:rsidRPr="00C74D67">
        <w:rPr>
          <w:rFonts w:ascii="Times New Roman" w:eastAsia="Trebuchet MS" w:hAnsi="Times New Roman" w:cs="Times New Roman"/>
          <w:color w:val="5C6065"/>
          <w:w w:val="90"/>
          <w:sz w:val="24"/>
          <w:szCs w:val="24"/>
          <w:lang w:val="es-ES"/>
        </w:rPr>
        <w:t>for</w:t>
      </w:r>
      <w:proofErr w:type="spellEnd"/>
      <w:r w:rsidRPr="00C74D67">
        <w:rPr>
          <w:rFonts w:ascii="Times New Roman" w:eastAsia="Trebuchet MS" w:hAnsi="Times New Roman" w:cs="Times New Roman"/>
          <w:color w:val="5C6065"/>
          <w:w w:val="90"/>
          <w:sz w:val="24"/>
          <w:szCs w:val="24"/>
          <w:lang w:val="es-ES"/>
        </w:rPr>
        <w:t xml:space="preserve"> </w:t>
      </w:r>
      <w:proofErr w:type="spellStart"/>
      <w:r w:rsidRPr="00C74D67">
        <w:rPr>
          <w:rFonts w:ascii="Times New Roman" w:eastAsia="Trebuchet MS" w:hAnsi="Times New Roman" w:cs="Times New Roman"/>
          <w:color w:val="5C6065"/>
          <w:w w:val="90"/>
          <w:sz w:val="24"/>
          <w:szCs w:val="24"/>
          <w:lang w:val="es-ES"/>
        </w:rPr>
        <w:t>Sustainable</w:t>
      </w:r>
      <w:proofErr w:type="spellEnd"/>
      <w:r w:rsidRPr="00C74D67">
        <w:rPr>
          <w:rFonts w:ascii="Times New Roman" w:eastAsia="Trebuchet MS" w:hAnsi="Times New Roman" w:cs="Times New Roman"/>
          <w:color w:val="5C6065"/>
          <w:w w:val="90"/>
          <w:sz w:val="24"/>
          <w:szCs w:val="24"/>
          <w:lang w:val="es-ES"/>
        </w:rPr>
        <w:t xml:space="preserve"> </w:t>
      </w:r>
      <w:proofErr w:type="spellStart"/>
      <w:r w:rsidRPr="00C74D67">
        <w:rPr>
          <w:rFonts w:ascii="Times New Roman" w:eastAsia="Trebuchet MS" w:hAnsi="Times New Roman" w:cs="Times New Roman"/>
          <w:color w:val="5C6065"/>
          <w:w w:val="90"/>
          <w:sz w:val="24"/>
          <w:szCs w:val="24"/>
          <w:lang w:val="es-ES"/>
        </w:rPr>
        <w:t>Development</w:t>
      </w:r>
      <w:proofErr w:type="spellEnd"/>
      <w:r w:rsidRPr="00C74D67">
        <w:rPr>
          <w:rFonts w:ascii="Times New Roman" w:eastAsia="Trebuchet MS" w:hAnsi="Times New Roman" w:cs="Times New Roman"/>
          <w:color w:val="5C6065"/>
          <w:w w:val="90"/>
          <w:sz w:val="24"/>
          <w:szCs w:val="24"/>
          <w:lang w:val="es-ES"/>
        </w:rPr>
        <w:t xml:space="preserve"> </w:t>
      </w:r>
      <w:r w:rsidR="002F209B" w:rsidRPr="00C74D67">
        <w:rPr>
          <w:rFonts w:ascii="Times New Roman" w:eastAsia="Trebuchet MS" w:hAnsi="Times New Roman" w:cs="Times New Roman"/>
          <w:color w:val="5C6065"/>
          <w:w w:val="90"/>
          <w:sz w:val="24"/>
          <w:szCs w:val="24"/>
          <w:lang w:val="es-ES"/>
        </w:rPr>
        <w:t>para la inclusión de los ODS en las estrategias de negocios responsables, se dirige a las grandes empresas multinacionales, se anima a las pequeñas y medianas empresas, así como a otras organizaciones a utilizarla como fuente de inspiración</w:t>
      </w:r>
      <w:r w:rsidR="00C74D67" w:rsidRPr="00C74D67">
        <w:rPr>
          <w:rFonts w:ascii="Times New Roman" w:eastAsia="Trebuchet MS" w:hAnsi="Times New Roman" w:cs="Times New Roman"/>
          <w:color w:val="5C6065"/>
          <w:w w:val="90"/>
          <w:sz w:val="24"/>
          <w:szCs w:val="24"/>
          <w:lang w:val="es-ES"/>
        </w:rPr>
        <w:t xml:space="preserve"> o adaptarla según convenga. De lo mencionado precedentemente, se desprende que cada organización puede alinear sus estrategias a los objetivos y metas de los ODS, particularmente, en este caso, al ODS 6. </w:t>
      </w:r>
    </w:p>
    <w:p w14:paraId="36B6DF2C" w14:textId="77777777" w:rsidR="00C74D67" w:rsidRPr="00C74D67" w:rsidRDefault="00C74D67" w:rsidP="007B5EDF">
      <w:pPr>
        <w:widowControl w:val="0"/>
        <w:tabs>
          <w:tab w:val="left" w:pos="721"/>
        </w:tabs>
        <w:autoSpaceDE w:val="0"/>
        <w:autoSpaceDN w:val="0"/>
        <w:spacing w:line="360" w:lineRule="auto"/>
        <w:ind w:left="720" w:hanging="720"/>
        <w:jc w:val="both"/>
        <w:rPr>
          <w:rFonts w:ascii="Times New Roman" w:eastAsia="Trebuchet MS" w:hAnsi="Times New Roman" w:cs="Times New Roman"/>
          <w:color w:val="5C6065"/>
          <w:w w:val="90"/>
          <w:sz w:val="24"/>
          <w:szCs w:val="24"/>
          <w:lang w:val="es-ES"/>
        </w:rPr>
      </w:pPr>
      <w:r w:rsidRPr="00C74D67">
        <w:rPr>
          <w:rFonts w:ascii="Times New Roman" w:eastAsia="Trebuchet MS" w:hAnsi="Times New Roman" w:cs="Times New Roman"/>
          <w:color w:val="5C6065"/>
          <w:w w:val="90"/>
          <w:sz w:val="24"/>
          <w:szCs w:val="24"/>
          <w:lang w:val="es-ES"/>
        </w:rPr>
        <w:tab/>
        <w:t xml:space="preserve">En el estudio empírico llevado a cabo, se incorporaron empresas de muy diversos sectores de la economía, y si bien las empresas de agro alimentos y las químicas están más ligadas directamente a este objetivo, todas pueden tomar medidas tendientes al logro de el objetivo planteado. </w:t>
      </w:r>
    </w:p>
    <w:p w14:paraId="32E0F2E1" w14:textId="77777777" w:rsidR="00C74D67" w:rsidRDefault="00C74D67" w:rsidP="007B5EDF">
      <w:pPr>
        <w:widowControl w:val="0"/>
        <w:tabs>
          <w:tab w:val="left" w:pos="721"/>
        </w:tabs>
        <w:autoSpaceDE w:val="0"/>
        <w:autoSpaceDN w:val="0"/>
        <w:spacing w:line="360" w:lineRule="auto"/>
        <w:ind w:left="720" w:hanging="720"/>
        <w:jc w:val="both"/>
        <w:rPr>
          <w:rFonts w:ascii="Times New Roman" w:eastAsia="Trebuchet MS" w:hAnsi="Times New Roman" w:cs="Times New Roman"/>
          <w:color w:val="5C6065"/>
          <w:w w:val="90"/>
          <w:sz w:val="24"/>
          <w:szCs w:val="24"/>
          <w:lang w:val="es-ES"/>
        </w:rPr>
      </w:pPr>
      <w:r w:rsidRPr="00C74D67">
        <w:rPr>
          <w:rFonts w:ascii="Times New Roman" w:eastAsia="Trebuchet MS" w:hAnsi="Times New Roman" w:cs="Times New Roman"/>
          <w:color w:val="5C6065"/>
          <w:w w:val="90"/>
          <w:sz w:val="24"/>
          <w:szCs w:val="24"/>
          <w:lang w:val="es-ES"/>
        </w:rPr>
        <w:tab/>
        <w:t xml:space="preserve">Se considera importante </w:t>
      </w:r>
      <w:r>
        <w:rPr>
          <w:rFonts w:ascii="Times New Roman" w:eastAsia="Trebuchet MS" w:hAnsi="Times New Roman" w:cs="Times New Roman"/>
          <w:color w:val="5C6065"/>
          <w:w w:val="90"/>
          <w:sz w:val="24"/>
          <w:szCs w:val="24"/>
          <w:lang w:val="es-ES"/>
        </w:rPr>
        <w:t>poder establecer una vinculación de las inversiones y / o resultados de estas acciones con la información revelada en los estados financieros, aspecto sobre el cual aún no se han notado importantes avances.</w:t>
      </w:r>
      <w:r w:rsidR="002700FA" w:rsidRPr="00C74D67">
        <w:rPr>
          <w:rFonts w:ascii="Times New Roman" w:eastAsia="Trebuchet MS" w:hAnsi="Times New Roman" w:cs="Times New Roman"/>
          <w:color w:val="5C6065"/>
          <w:w w:val="90"/>
          <w:sz w:val="24"/>
          <w:szCs w:val="24"/>
          <w:lang w:val="es-ES"/>
        </w:rPr>
        <w:t xml:space="preserve"> </w:t>
      </w:r>
      <w:r w:rsidR="006F33CE" w:rsidRPr="00C74D67">
        <w:rPr>
          <w:rFonts w:ascii="Times New Roman" w:eastAsia="Trebuchet MS" w:hAnsi="Times New Roman" w:cs="Times New Roman"/>
          <w:color w:val="5C6065"/>
          <w:w w:val="90"/>
          <w:sz w:val="24"/>
          <w:szCs w:val="24"/>
          <w:lang w:val="es-ES"/>
        </w:rPr>
        <w:t xml:space="preserve">    </w:t>
      </w:r>
    </w:p>
    <w:p w14:paraId="024AF0A0" w14:textId="0960E422" w:rsidR="00F7414D" w:rsidRPr="00355F37" w:rsidRDefault="00C74D67" w:rsidP="007B5EDF">
      <w:pPr>
        <w:widowControl w:val="0"/>
        <w:tabs>
          <w:tab w:val="left" w:pos="721"/>
        </w:tabs>
        <w:autoSpaceDE w:val="0"/>
        <w:autoSpaceDN w:val="0"/>
        <w:spacing w:line="360" w:lineRule="auto"/>
        <w:ind w:left="720" w:hanging="720"/>
        <w:jc w:val="both"/>
        <w:rPr>
          <w:rFonts w:ascii="Times New Roman" w:eastAsia="Trebuchet MS" w:hAnsi="Times New Roman" w:cs="Times New Roman"/>
          <w:b/>
          <w:color w:val="5C6065"/>
          <w:w w:val="90"/>
          <w:sz w:val="24"/>
          <w:szCs w:val="24"/>
          <w:lang w:val="es-ES"/>
        </w:rPr>
      </w:pPr>
      <w:r>
        <w:rPr>
          <w:rFonts w:ascii="Times New Roman" w:eastAsia="Trebuchet MS" w:hAnsi="Times New Roman" w:cs="Times New Roman"/>
          <w:color w:val="5C6065"/>
          <w:w w:val="90"/>
          <w:sz w:val="24"/>
          <w:szCs w:val="24"/>
          <w:lang w:val="es-ES"/>
        </w:rPr>
        <w:tab/>
        <w:t>Los profesionales en Ciencias Económicas, especialmente los contadores públicos</w:t>
      </w:r>
      <w:r w:rsidR="003C29D8">
        <w:rPr>
          <w:rFonts w:ascii="Times New Roman" w:eastAsia="Trebuchet MS" w:hAnsi="Times New Roman" w:cs="Times New Roman"/>
          <w:color w:val="5C6065"/>
          <w:w w:val="90"/>
          <w:sz w:val="24"/>
          <w:szCs w:val="24"/>
          <w:lang w:val="es-ES"/>
        </w:rPr>
        <w:t>, tienen en esta rama de la Contabilidad de la Sustentabilidad un nuevo campo de acción que requiere de una formación específica.</w:t>
      </w:r>
      <w:r w:rsidR="006F33CE" w:rsidRPr="00C74D67">
        <w:rPr>
          <w:rFonts w:ascii="Times New Roman" w:eastAsia="Trebuchet MS" w:hAnsi="Times New Roman" w:cs="Times New Roman"/>
          <w:color w:val="5C6065"/>
          <w:w w:val="90"/>
          <w:sz w:val="24"/>
          <w:szCs w:val="24"/>
          <w:lang w:val="es-ES"/>
        </w:rPr>
        <w:t xml:space="preserve">      </w:t>
      </w:r>
      <w:r w:rsidR="006F33CE">
        <w:rPr>
          <w:rFonts w:ascii="Times New Roman" w:eastAsia="Trebuchet MS" w:hAnsi="Times New Roman" w:cs="Times New Roman"/>
          <w:b/>
          <w:color w:val="5C6065"/>
          <w:w w:val="90"/>
          <w:sz w:val="24"/>
          <w:szCs w:val="24"/>
          <w:lang w:val="es-ES"/>
        </w:rPr>
        <w:t xml:space="preserve">                          </w:t>
      </w:r>
    </w:p>
    <w:p w14:paraId="5A376FF4" w14:textId="77777777" w:rsidR="00E1553D" w:rsidRPr="007B5EDF" w:rsidRDefault="00E1553D" w:rsidP="00E1553D">
      <w:pPr>
        <w:spacing w:after="0" w:line="360" w:lineRule="auto"/>
        <w:jc w:val="both"/>
        <w:rPr>
          <w:rFonts w:ascii="Times New Roman" w:hAnsi="Times New Roman" w:cs="Times New Roman"/>
          <w:sz w:val="24"/>
          <w:szCs w:val="24"/>
        </w:rPr>
      </w:pPr>
    </w:p>
    <w:p w14:paraId="3665F98B" w14:textId="5B7BDFE6" w:rsidR="003F3BC5" w:rsidRDefault="003F3BC5" w:rsidP="00D430D4">
      <w:pPr>
        <w:spacing w:after="0" w:line="360" w:lineRule="auto"/>
        <w:ind w:left="720" w:hanging="720"/>
        <w:jc w:val="both"/>
        <w:rPr>
          <w:rFonts w:ascii="Times New Roman" w:hAnsi="Times New Roman" w:cs="Times New Roman"/>
          <w:b/>
          <w:sz w:val="24"/>
          <w:szCs w:val="24"/>
        </w:rPr>
      </w:pPr>
      <w:r w:rsidRPr="00CC0727">
        <w:rPr>
          <w:rFonts w:ascii="Times New Roman" w:hAnsi="Times New Roman" w:cs="Times New Roman"/>
          <w:b/>
          <w:sz w:val="24"/>
          <w:szCs w:val="24"/>
        </w:rPr>
        <w:t>Referencias</w:t>
      </w:r>
      <w:r w:rsidR="00F102F1">
        <w:rPr>
          <w:rFonts w:ascii="Times New Roman" w:hAnsi="Times New Roman" w:cs="Times New Roman"/>
          <w:b/>
          <w:sz w:val="24"/>
          <w:szCs w:val="24"/>
        </w:rPr>
        <w:t xml:space="preserve"> bibliográficas</w:t>
      </w:r>
    </w:p>
    <w:p w14:paraId="3A4955D1" w14:textId="4D73BD6D" w:rsidR="00BB47A2" w:rsidRDefault="00BB47A2" w:rsidP="00D430D4">
      <w:pPr>
        <w:spacing w:after="0" w:line="360" w:lineRule="auto"/>
        <w:ind w:left="720" w:hanging="720"/>
        <w:jc w:val="both"/>
        <w:rPr>
          <w:rFonts w:ascii="Times New Roman" w:hAnsi="Times New Roman" w:cs="Times New Roman"/>
          <w:b/>
          <w:sz w:val="24"/>
          <w:szCs w:val="24"/>
        </w:rPr>
      </w:pPr>
    </w:p>
    <w:p w14:paraId="6C36D42A" w14:textId="1EE2C934" w:rsidR="00BB47A2" w:rsidRPr="00BB47A2" w:rsidRDefault="00BB47A2" w:rsidP="00D430D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Arcor SAIC (2022). Reporte de Sustentabilidad 2021. </w:t>
      </w:r>
      <w:r w:rsidRPr="00BB47A2">
        <w:rPr>
          <w:rFonts w:ascii="Times New Roman" w:hAnsi="Times New Roman" w:cs="Times New Roman"/>
          <w:sz w:val="24"/>
          <w:szCs w:val="24"/>
        </w:rPr>
        <w:t>https://imagen.arcor.com/institucional/reporte-sustentabilidad-2021.pdf</w:t>
      </w:r>
    </w:p>
    <w:p w14:paraId="321ED3B1" w14:textId="77777777" w:rsidR="00200903" w:rsidRPr="006607CE" w:rsidRDefault="0042064F" w:rsidP="00200903">
      <w:pPr>
        <w:spacing w:after="120" w:line="240" w:lineRule="auto"/>
        <w:ind w:left="720" w:hanging="720"/>
        <w:rPr>
          <w:rStyle w:val="Hipervnculo"/>
        </w:rPr>
      </w:pPr>
      <w:r>
        <w:rPr>
          <w:rFonts w:ascii="Times New Roman" w:hAnsi="Times New Roman" w:cs="Times New Roman"/>
          <w:sz w:val="24"/>
          <w:szCs w:val="24"/>
        </w:rPr>
        <w:lastRenderedPageBreak/>
        <w:t xml:space="preserve">Brooks, J. &amp; Carey, C. (2022). Objetivo 6- Hacer frente al reto: posibilitar el acceso al agua limpia y potable en todo el mundo. </w:t>
      </w:r>
      <w:r w:rsidRPr="0042064F">
        <w:rPr>
          <w:rFonts w:ascii="Times New Roman" w:hAnsi="Times New Roman" w:cs="Times New Roman"/>
          <w:i/>
          <w:sz w:val="24"/>
          <w:szCs w:val="24"/>
        </w:rPr>
        <w:t>Naciones Unidas</w:t>
      </w:r>
      <w:r>
        <w:rPr>
          <w:rFonts w:ascii="Times New Roman" w:hAnsi="Times New Roman" w:cs="Times New Roman"/>
          <w:sz w:val="24"/>
          <w:szCs w:val="24"/>
        </w:rPr>
        <w:t xml:space="preserve">. </w:t>
      </w:r>
      <w:hyperlink r:id="rId7" w:history="1">
        <w:r w:rsidRPr="006607CE">
          <w:rPr>
            <w:rStyle w:val="Hipervnculo"/>
          </w:rPr>
          <w:t>https://www.un.org/es/chronicle/article/objetivo-6-hacer-frente-al-reto-posibilitar-el-acceso-al-agua-limpia-y-potable-en-todo-el-mundo</w:t>
        </w:r>
      </w:hyperlink>
      <w:r w:rsidR="00200903" w:rsidRPr="006607CE">
        <w:rPr>
          <w:rStyle w:val="Hipervnculo"/>
        </w:rPr>
        <w:t xml:space="preserve">  </w:t>
      </w:r>
    </w:p>
    <w:p w14:paraId="4EA064CF" w14:textId="3F516F12" w:rsidR="00187FC9" w:rsidRPr="006607CE" w:rsidRDefault="00187FC9" w:rsidP="00200903">
      <w:pPr>
        <w:spacing w:after="120" w:line="240" w:lineRule="auto"/>
        <w:ind w:left="720" w:hanging="720"/>
        <w:rPr>
          <w:color w:val="0563C1" w:themeColor="hyperlink"/>
          <w:u w:val="single"/>
          <w:lang w:val="en-US"/>
        </w:rPr>
      </w:pPr>
      <w:r w:rsidRPr="00052B2D">
        <w:rPr>
          <w:rFonts w:ascii="Times New Roman" w:hAnsi="Times New Roman" w:cs="Times New Roman"/>
          <w:sz w:val="24"/>
          <w:szCs w:val="24"/>
          <w:lang w:val="en-US"/>
        </w:rPr>
        <w:t xml:space="preserve">Business &amp; Sustainable Development Commission (2017). </w:t>
      </w:r>
      <w:r w:rsidRPr="00052B2D">
        <w:rPr>
          <w:rFonts w:ascii="Times New Roman" w:hAnsi="Times New Roman" w:cs="Times New Roman"/>
          <w:i/>
          <w:sz w:val="24"/>
          <w:szCs w:val="24"/>
          <w:lang w:val="en-US"/>
        </w:rPr>
        <w:t xml:space="preserve">Better business better world. </w:t>
      </w:r>
      <w:hyperlink r:id="rId8" w:history="1">
        <w:r w:rsidRPr="00052B2D">
          <w:rPr>
            <w:rStyle w:val="Hipervnculo"/>
            <w:rFonts w:ascii="Times New Roman" w:hAnsi="Times New Roman" w:cs="Times New Roman"/>
            <w:sz w:val="24"/>
            <w:szCs w:val="24"/>
            <w:lang w:val="en-US"/>
          </w:rPr>
          <w:t>http://report.businesscommission.org/uploads/BetterBiz-BetterWorld_170215_012417.pdf</w:t>
        </w:r>
      </w:hyperlink>
    </w:p>
    <w:p w14:paraId="40DD1B2F" w14:textId="77777777" w:rsidR="00187FC9" w:rsidRPr="00052B2D" w:rsidRDefault="00187FC9" w:rsidP="00187FC9">
      <w:pPr>
        <w:spacing w:after="0" w:line="240" w:lineRule="auto"/>
        <w:ind w:left="709" w:hanging="709"/>
        <w:jc w:val="both"/>
        <w:rPr>
          <w:rFonts w:ascii="Times New Roman" w:hAnsi="Times New Roman" w:cs="Times New Roman"/>
          <w:iCs/>
          <w:sz w:val="24"/>
          <w:szCs w:val="24"/>
          <w:lang w:val="en-US"/>
        </w:rPr>
      </w:pPr>
    </w:p>
    <w:p w14:paraId="7634F1E7" w14:textId="2EEB57C2" w:rsidR="00187FC9" w:rsidRPr="00052B2D" w:rsidRDefault="00187FC9" w:rsidP="00187FC9">
      <w:pPr>
        <w:spacing w:after="0" w:line="240" w:lineRule="auto"/>
        <w:ind w:left="709" w:hanging="709"/>
        <w:jc w:val="both"/>
        <w:rPr>
          <w:rFonts w:ascii="Times New Roman" w:hAnsi="Times New Roman" w:cs="Times New Roman"/>
          <w:sz w:val="24"/>
          <w:szCs w:val="24"/>
        </w:rPr>
      </w:pPr>
      <w:r w:rsidRPr="00052B2D">
        <w:rPr>
          <w:rFonts w:ascii="Times New Roman" w:hAnsi="Times New Roman" w:cs="Times New Roman"/>
          <w:iCs/>
          <w:sz w:val="24"/>
          <w:szCs w:val="24"/>
          <w:lang w:val="en-US"/>
        </w:rPr>
        <w:t xml:space="preserve">Business &amp; Sustainable Development Commission (2017b). </w:t>
      </w:r>
      <w:r w:rsidRPr="00052B2D">
        <w:rPr>
          <w:rFonts w:ascii="Times New Roman" w:hAnsi="Times New Roman" w:cs="Times New Roman"/>
          <w:iCs/>
          <w:sz w:val="24"/>
          <w:szCs w:val="24"/>
        </w:rPr>
        <w:t>Mejores negocios, un mundo mejor: Oportunidades</w:t>
      </w:r>
      <w:r w:rsidRPr="00052B2D">
        <w:rPr>
          <w:rFonts w:ascii="Times New Roman" w:hAnsi="Times New Roman" w:cs="Times New Roman"/>
          <w:sz w:val="24"/>
          <w:szCs w:val="24"/>
        </w:rPr>
        <w:t xml:space="preserve"> de negocio sostenibles en Latinoamérica y el Caribe. </w:t>
      </w:r>
      <w:hyperlink r:id="rId9" w:history="1">
        <w:r w:rsidR="00C27B43" w:rsidRPr="00052B2D">
          <w:rPr>
            <w:rStyle w:val="Hipervnculo"/>
            <w:rFonts w:ascii="Times New Roman" w:hAnsi="Times New Roman" w:cs="Times New Roman"/>
            <w:sz w:val="24"/>
            <w:szCs w:val="24"/>
          </w:rPr>
          <w:t>http://s3.amazonaws.com/aws-bsdc/BSDC-LAC-report-espanol.pdf</w:t>
        </w:r>
      </w:hyperlink>
    </w:p>
    <w:p w14:paraId="15927735" w14:textId="77777777" w:rsidR="00C27B43" w:rsidRPr="00052B2D" w:rsidRDefault="00C27B43" w:rsidP="00187FC9">
      <w:pPr>
        <w:spacing w:after="0" w:line="240" w:lineRule="auto"/>
        <w:ind w:left="709" w:hanging="709"/>
        <w:jc w:val="both"/>
        <w:rPr>
          <w:rFonts w:ascii="Times New Roman" w:hAnsi="Times New Roman" w:cs="Times New Roman"/>
          <w:sz w:val="24"/>
          <w:szCs w:val="24"/>
        </w:rPr>
      </w:pPr>
    </w:p>
    <w:p w14:paraId="63CF9DF3" w14:textId="25EE71D6" w:rsidR="00C27B43" w:rsidRDefault="00C27B43" w:rsidP="005E1024">
      <w:pPr>
        <w:pStyle w:val="Bibliografa"/>
        <w:spacing w:after="120" w:line="240" w:lineRule="auto"/>
        <w:ind w:left="773" w:hangingChars="322" w:hanging="773"/>
        <w:jc w:val="both"/>
        <w:rPr>
          <w:rFonts w:ascii="Times New Roman" w:hAnsi="Times New Roman" w:cs="Times New Roman"/>
          <w:sz w:val="24"/>
          <w:szCs w:val="24"/>
        </w:rPr>
      </w:pPr>
      <w:r w:rsidRPr="00052B2D">
        <w:rPr>
          <w:rFonts w:ascii="Times New Roman" w:hAnsi="Times New Roman" w:cs="Times New Roman"/>
          <w:sz w:val="24"/>
          <w:szCs w:val="24"/>
          <w:lang w:val="en-US"/>
        </w:rPr>
        <w:t xml:space="preserve">Global Reporting </w:t>
      </w:r>
      <w:r w:rsidR="00D71E68" w:rsidRPr="00052B2D">
        <w:rPr>
          <w:rFonts w:ascii="Times New Roman" w:hAnsi="Times New Roman" w:cs="Times New Roman"/>
          <w:sz w:val="24"/>
          <w:szCs w:val="24"/>
          <w:lang w:val="en-US"/>
        </w:rPr>
        <w:t>Initiative</w:t>
      </w:r>
      <w:r w:rsidRPr="00052B2D">
        <w:rPr>
          <w:rFonts w:ascii="Times New Roman" w:hAnsi="Times New Roman" w:cs="Times New Roman"/>
          <w:sz w:val="24"/>
          <w:szCs w:val="24"/>
          <w:lang w:val="en-US"/>
        </w:rPr>
        <w:t xml:space="preserve">, United Nations Global Compact, WBCSD (2015). </w:t>
      </w:r>
      <w:r w:rsidRPr="00052B2D">
        <w:rPr>
          <w:rFonts w:ascii="Times New Roman" w:hAnsi="Times New Roman" w:cs="Times New Roman"/>
          <w:sz w:val="24"/>
          <w:szCs w:val="24"/>
        </w:rPr>
        <w:t xml:space="preserve">SDG Compass: La guía para la acción empresarial en los ODS. Recuperado de: </w:t>
      </w:r>
      <w:hyperlink r:id="rId10" w:history="1">
        <w:r w:rsidR="005E1024" w:rsidRPr="007338E7">
          <w:rPr>
            <w:rStyle w:val="Hipervnculo"/>
            <w:rFonts w:ascii="Times New Roman" w:hAnsi="Times New Roman" w:cs="Times New Roman"/>
            <w:sz w:val="24"/>
            <w:szCs w:val="24"/>
          </w:rPr>
          <w:t>https://sdgcompass.org/wp-content/uploads/2016/06/SDG_Compass_Spanish-one-pager-view.pdf</w:t>
        </w:r>
      </w:hyperlink>
      <w:r w:rsidR="005E1024">
        <w:rPr>
          <w:rFonts w:ascii="Times New Roman" w:hAnsi="Times New Roman" w:cs="Times New Roman"/>
          <w:sz w:val="24"/>
          <w:szCs w:val="24"/>
        </w:rPr>
        <w:t xml:space="preserve"> </w:t>
      </w:r>
    </w:p>
    <w:p w14:paraId="3DC1FF6D" w14:textId="7CB874D3" w:rsidR="00C67A35" w:rsidRPr="00C67A35" w:rsidRDefault="00C67A35" w:rsidP="00C67A35">
      <w:pPr>
        <w:jc w:val="both"/>
        <w:rPr>
          <w:rFonts w:ascii="Times New Roman" w:hAnsi="Times New Roman" w:cs="Times New Roman"/>
          <w:sz w:val="24"/>
          <w:szCs w:val="24"/>
        </w:rPr>
      </w:pPr>
      <w:r w:rsidRPr="00C67A35">
        <w:rPr>
          <w:rFonts w:ascii="Times New Roman" w:hAnsi="Times New Roman" w:cs="Times New Roman"/>
          <w:sz w:val="24"/>
          <w:szCs w:val="24"/>
        </w:rPr>
        <w:t xml:space="preserve">Holcim </w:t>
      </w:r>
      <w:r>
        <w:rPr>
          <w:rFonts w:ascii="Times New Roman" w:hAnsi="Times New Roman" w:cs="Times New Roman"/>
          <w:sz w:val="24"/>
          <w:szCs w:val="24"/>
        </w:rPr>
        <w:t xml:space="preserve">(Argentina) S.A. (2022). Informe de Desarrollo Sostenible 2021. </w:t>
      </w:r>
      <w:r>
        <w:rPr>
          <w:rFonts w:ascii="Times New Roman" w:hAnsi="Times New Roman" w:cs="Times New Roman"/>
          <w:sz w:val="24"/>
          <w:szCs w:val="24"/>
        </w:rPr>
        <w:tab/>
      </w:r>
      <w:r w:rsidRPr="00C67A35">
        <w:rPr>
          <w:rFonts w:ascii="Times New Roman" w:hAnsi="Times New Roman" w:cs="Times New Roman"/>
          <w:sz w:val="24"/>
          <w:szCs w:val="24"/>
        </w:rPr>
        <w:t>https://www.holcim.com.ar/sites/argentina/files/2022-05/holcim_ids_2021.pdf</w:t>
      </w:r>
    </w:p>
    <w:p w14:paraId="21923847" w14:textId="110305F7" w:rsidR="00593E54" w:rsidRPr="00A1488E" w:rsidRDefault="00A1488E" w:rsidP="00593E54">
      <w:pPr>
        <w:jc w:val="both"/>
        <w:rPr>
          <w:rFonts w:ascii="Times New Roman" w:hAnsi="Times New Roman" w:cs="Times New Roman"/>
          <w:sz w:val="24"/>
          <w:szCs w:val="24"/>
        </w:rPr>
      </w:pPr>
      <w:r>
        <w:rPr>
          <w:rFonts w:ascii="Times New Roman" w:hAnsi="Times New Roman" w:cs="Times New Roman"/>
          <w:sz w:val="24"/>
          <w:szCs w:val="24"/>
        </w:rPr>
        <w:t>Molinos Agro S.A. (2022). Reporte de Sustentabilidad 2021</w:t>
      </w:r>
      <w:r w:rsidR="00593E54">
        <w:rPr>
          <w:rFonts w:ascii="Times New Roman" w:hAnsi="Times New Roman" w:cs="Times New Roman"/>
          <w:sz w:val="24"/>
          <w:szCs w:val="24"/>
        </w:rPr>
        <w:t>/2022</w:t>
      </w:r>
      <w:r>
        <w:rPr>
          <w:rFonts w:ascii="Times New Roman" w:hAnsi="Times New Roman" w:cs="Times New Roman"/>
          <w:sz w:val="24"/>
          <w:szCs w:val="24"/>
        </w:rPr>
        <w:t xml:space="preserve"> </w:t>
      </w:r>
      <w:r>
        <w:rPr>
          <w:rFonts w:ascii="Times New Roman" w:hAnsi="Times New Roman" w:cs="Times New Roman"/>
          <w:sz w:val="24"/>
          <w:szCs w:val="24"/>
        </w:rPr>
        <w:tab/>
      </w:r>
      <w:hyperlink r:id="rId11" w:history="1">
        <w:r w:rsidR="00593E54" w:rsidRPr="00D62895">
          <w:rPr>
            <w:rStyle w:val="Hipervnculo"/>
            <w:rFonts w:ascii="Times New Roman" w:hAnsi="Times New Roman" w:cs="Times New Roman"/>
            <w:sz w:val="24"/>
            <w:szCs w:val="24"/>
          </w:rPr>
          <w:t>https://www.molinosagro.com.ar/wp-content/uploads/2022/08/Reporte-2021-</w:t>
        </w:r>
      </w:hyperlink>
      <w:r w:rsidR="00593E54">
        <w:rPr>
          <w:rFonts w:ascii="Times New Roman" w:hAnsi="Times New Roman" w:cs="Times New Roman"/>
          <w:sz w:val="24"/>
          <w:szCs w:val="24"/>
        </w:rPr>
        <w:tab/>
      </w:r>
      <w:r w:rsidR="00593E54" w:rsidRPr="00593E54">
        <w:rPr>
          <w:rFonts w:ascii="Times New Roman" w:hAnsi="Times New Roman" w:cs="Times New Roman"/>
          <w:sz w:val="24"/>
          <w:szCs w:val="24"/>
        </w:rPr>
        <w:t>2022.pdf</w:t>
      </w:r>
    </w:p>
    <w:p w14:paraId="7C282D7E" w14:textId="1BE47935" w:rsidR="000545B0" w:rsidRDefault="009E5562" w:rsidP="009E5562">
      <w:pPr>
        <w:jc w:val="both"/>
        <w:rPr>
          <w:rFonts w:ascii="Times New Roman" w:hAnsi="Times New Roman" w:cs="Times New Roman"/>
          <w:sz w:val="24"/>
          <w:szCs w:val="24"/>
        </w:rPr>
      </w:pPr>
      <w:r>
        <w:rPr>
          <w:rFonts w:ascii="Times New Roman" w:hAnsi="Times New Roman" w:cs="Times New Roman"/>
          <w:sz w:val="24"/>
          <w:szCs w:val="24"/>
        </w:rPr>
        <w:t xml:space="preserve">Naciones Unidas (2022). Objetivos de desarrollo sostenible. Objetivo 6. Garantizar la </w:t>
      </w:r>
      <w:r>
        <w:rPr>
          <w:rFonts w:ascii="Times New Roman" w:hAnsi="Times New Roman" w:cs="Times New Roman"/>
          <w:sz w:val="24"/>
          <w:szCs w:val="24"/>
        </w:rPr>
        <w:tab/>
        <w:t xml:space="preserve">disponibilidad de agua y su gestión sostenible y el saneamiento para todos. </w:t>
      </w:r>
      <w:hyperlink r:id="rId12" w:history="1">
        <w:r w:rsidRPr="007338E7">
          <w:rPr>
            <w:rStyle w:val="Hipervnculo"/>
            <w:rFonts w:ascii="Times New Roman" w:hAnsi="Times New Roman" w:cs="Times New Roman"/>
            <w:sz w:val="24"/>
            <w:szCs w:val="24"/>
          </w:rPr>
          <w:t>https://www.un.org/sustainabledevelopment/es/water-and-sanitation/</w:t>
        </w:r>
      </w:hyperlink>
    </w:p>
    <w:p w14:paraId="3E4C9278" w14:textId="77777777" w:rsidR="00200903" w:rsidRDefault="009E5562" w:rsidP="00200903">
      <w:pPr>
        <w:spacing w:after="120" w:line="240" w:lineRule="auto"/>
        <w:ind w:hanging="720"/>
        <w:jc w:val="both"/>
        <w:rPr>
          <w:rFonts w:ascii="Times New Roman" w:hAnsi="Times New Roman" w:cs="Times New Roman"/>
          <w:sz w:val="24"/>
          <w:szCs w:val="24"/>
        </w:rPr>
      </w:pPr>
      <w:r>
        <w:rPr>
          <w:rFonts w:ascii="Times New Roman" w:hAnsi="Times New Roman" w:cs="Times New Roman"/>
          <w:sz w:val="24"/>
          <w:szCs w:val="24"/>
        </w:rPr>
        <w:tab/>
      </w:r>
      <w:r w:rsidR="005E1024">
        <w:rPr>
          <w:rFonts w:ascii="Times New Roman" w:hAnsi="Times New Roman" w:cs="Times New Roman"/>
          <w:sz w:val="24"/>
          <w:szCs w:val="24"/>
        </w:rPr>
        <w:t xml:space="preserve">Organización de las Naciones Unidas (2015). Informe del Comité Intergubernamental </w:t>
      </w:r>
      <w:r w:rsidR="005E1024">
        <w:rPr>
          <w:rFonts w:ascii="Times New Roman" w:hAnsi="Times New Roman" w:cs="Times New Roman"/>
          <w:sz w:val="24"/>
          <w:szCs w:val="24"/>
        </w:rPr>
        <w:tab/>
        <w:t>de Expertos en Financiación para el Desarrollo Sostenible.</w:t>
      </w:r>
      <w:r w:rsidR="00200903">
        <w:rPr>
          <w:rFonts w:ascii="Times New Roman" w:hAnsi="Times New Roman" w:cs="Times New Roman"/>
          <w:sz w:val="24"/>
          <w:szCs w:val="24"/>
        </w:rPr>
        <w:t xml:space="preserve"> </w:t>
      </w:r>
    </w:p>
    <w:p w14:paraId="48A93084" w14:textId="64CC69B4" w:rsidR="00766F21" w:rsidRPr="00200903" w:rsidRDefault="00200903" w:rsidP="00200903">
      <w:pPr>
        <w:spacing w:after="120" w:line="240" w:lineRule="auto"/>
        <w:ind w:hanging="720"/>
        <w:jc w:val="both"/>
        <w:rPr>
          <w:rFonts w:ascii="Times New Roman" w:hAnsi="Times New Roman" w:cs="Times New Roman"/>
          <w:sz w:val="24"/>
          <w:szCs w:val="24"/>
        </w:rPr>
      </w:pPr>
      <w:r>
        <w:rPr>
          <w:rFonts w:ascii="Times New Roman" w:hAnsi="Times New Roman" w:cs="Times New Roman"/>
          <w:sz w:val="24"/>
          <w:szCs w:val="24"/>
        </w:rPr>
        <w:tab/>
      </w:r>
      <w:r w:rsidR="00766F21" w:rsidRPr="00052B2D">
        <w:rPr>
          <w:rFonts w:ascii="Times New Roman" w:hAnsi="Times New Roman" w:cs="Times New Roman"/>
          <w:sz w:val="24"/>
          <w:szCs w:val="24"/>
        </w:rPr>
        <w:t xml:space="preserve">Pacto Global de Naciones Unidas y KPMG (2016). Matriz industrial de los ODS. </w:t>
      </w:r>
      <w:r>
        <w:rPr>
          <w:rFonts w:ascii="Times New Roman" w:hAnsi="Times New Roman" w:cs="Times New Roman"/>
          <w:sz w:val="24"/>
          <w:szCs w:val="24"/>
        </w:rPr>
        <w:tab/>
      </w:r>
      <w:r w:rsidR="00766F21" w:rsidRPr="00052B2D">
        <w:rPr>
          <w:rFonts w:ascii="Times New Roman" w:hAnsi="Times New Roman" w:cs="Times New Roman"/>
          <w:sz w:val="24"/>
          <w:szCs w:val="24"/>
        </w:rPr>
        <w:t xml:space="preserve">Alimentación, bebidas y bienes de consumo. </w:t>
      </w:r>
      <w:hyperlink r:id="rId13" w:history="1">
        <w:r w:rsidRPr="00200903">
          <w:rPr>
            <w:rStyle w:val="Hipervnculo"/>
            <w:rFonts w:ascii="Times New Roman" w:hAnsi="Times New Roman" w:cs="Times New Roman"/>
            <w:sz w:val="24"/>
            <w:szCs w:val="24"/>
            <w:u w:val="none"/>
          </w:rPr>
          <w:t>https://www.pactomundial.org/wp-</w:t>
        </w:r>
        <w:r w:rsidRPr="00200903">
          <w:rPr>
            <w:rStyle w:val="Hipervnculo"/>
            <w:rFonts w:ascii="Times New Roman" w:hAnsi="Times New Roman" w:cs="Times New Roman"/>
            <w:sz w:val="24"/>
            <w:szCs w:val="24"/>
            <w:u w:val="none"/>
          </w:rPr>
          <w:tab/>
          <w:t>content/uploads/2018/07/Matriz-Industrial-de-los-ODS_Alimentaci%C3%B3n-</w:t>
        </w:r>
        <w:r w:rsidRPr="00200903">
          <w:rPr>
            <w:rStyle w:val="Hipervnculo"/>
            <w:rFonts w:ascii="Times New Roman" w:hAnsi="Times New Roman" w:cs="Times New Roman"/>
            <w:sz w:val="24"/>
            <w:szCs w:val="24"/>
            <w:u w:val="none"/>
          </w:rPr>
          <w:tab/>
          <w:t>bebidas-y-bienes-de-consumo-.pdf</w:t>
        </w:r>
      </w:hyperlink>
      <w:r w:rsidR="0022165D" w:rsidRPr="00200903">
        <w:rPr>
          <w:rFonts w:ascii="Times New Roman" w:hAnsi="Times New Roman" w:cs="Times New Roman"/>
          <w:sz w:val="24"/>
          <w:szCs w:val="24"/>
        </w:rPr>
        <w:t xml:space="preserve"> </w:t>
      </w:r>
    </w:p>
    <w:p w14:paraId="5107185D" w14:textId="11000678" w:rsidR="00AD30C5" w:rsidRDefault="0022165D" w:rsidP="0047154C">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Pacto Mundial- Red Española (2017). El sector privado ante los ODS. Guía Práctica para la acción. </w:t>
      </w:r>
      <w:hyperlink r:id="rId14" w:history="1">
        <w:r w:rsidRPr="007338E7">
          <w:rPr>
            <w:rStyle w:val="Hipervnculo"/>
            <w:rFonts w:ascii="Times New Roman" w:hAnsi="Times New Roman" w:cs="Times New Roman"/>
            <w:sz w:val="24"/>
            <w:szCs w:val="24"/>
          </w:rPr>
          <w:t>https://www.pactomundial.org/wp-content/uploads/2017/02/Guia_ODS_PM_20170215_web.pdf</w:t>
        </w:r>
      </w:hyperlink>
    </w:p>
    <w:p w14:paraId="347DA094" w14:textId="745FB346" w:rsidR="00AD30C5" w:rsidRDefault="00AD30C5" w:rsidP="0049598A">
      <w:pPr>
        <w:spacing w:after="120" w:line="240" w:lineRule="auto"/>
        <w:ind w:left="720" w:hanging="720"/>
        <w:jc w:val="both"/>
        <w:rPr>
          <w:rFonts w:ascii="Times New Roman" w:hAnsi="Times New Roman" w:cs="Times New Roman"/>
          <w:sz w:val="24"/>
          <w:szCs w:val="24"/>
        </w:rPr>
      </w:pPr>
      <w:r w:rsidRPr="00052B2D">
        <w:rPr>
          <w:rStyle w:val="Hipervnculo"/>
          <w:rFonts w:ascii="Times New Roman" w:hAnsi="Times New Roman" w:cs="Times New Roman"/>
          <w:color w:val="auto"/>
          <w:sz w:val="24"/>
          <w:szCs w:val="24"/>
          <w:u w:val="none"/>
        </w:rPr>
        <w:t>Pacto Mundial</w:t>
      </w:r>
      <w:r w:rsidRPr="00052B2D">
        <w:rPr>
          <w:rFonts w:ascii="Times New Roman" w:hAnsi="Times New Roman" w:cs="Times New Roman"/>
          <w:sz w:val="24"/>
          <w:szCs w:val="24"/>
        </w:rPr>
        <w:t>-Red</w:t>
      </w:r>
      <w:r w:rsidR="00200903">
        <w:rPr>
          <w:rFonts w:ascii="Times New Roman" w:hAnsi="Times New Roman" w:cs="Times New Roman"/>
          <w:sz w:val="24"/>
          <w:szCs w:val="24"/>
        </w:rPr>
        <w:t xml:space="preserve"> </w:t>
      </w:r>
      <w:r w:rsidR="0022165D">
        <w:rPr>
          <w:rFonts w:ascii="Times New Roman" w:hAnsi="Times New Roman" w:cs="Times New Roman"/>
          <w:sz w:val="24"/>
          <w:szCs w:val="24"/>
        </w:rPr>
        <w:t>Es</w:t>
      </w:r>
      <w:r w:rsidRPr="00052B2D">
        <w:rPr>
          <w:rFonts w:ascii="Times New Roman" w:hAnsi="Times New Roman" w:cs="Times New Roman"/>
          <w:sz w:val="24"/>
          <w:szCs w:val="24"/>
        </w:rPr>
        <w:t>pañola (2022). ODS 6. Agua limpia</w:t>
      </w:r>
      <w:r>
        <w:rPr>
          <w:rFonts w:ascii="Times New Roman" w:hAnsi="Times New Roman" w:cs="Times New Roman"/>
          <w:sz w:val="24"/>
          <w:szCs w:val="24"/>
        </w:rPr>
        <w:t xml:space="preserve"> y saneamiento. </w:t>
      </w:r>
      <w:hyperlink r:id="rId15" w:history="1">
        <w:r w:rsidR="0049598A" w:rsidRPr="007338E7">
          <w:rPr>
            <w:rStyle w:val="Hipervnculo"/>
            <w:rFonts w:ascii="Times New Roman" w:hAnsi="Times New Roman" w:cs="Times New Roman"/>
            <w:sz w:val="24"/>
            <w:szCs w:val="24"/>
          </w:rPr>
          <w:t>https://www.pactomundial.org/ods/6-agua-limpia-y-saneamiento/</w:t>
        </w:r>
      </w:hyperlink>
      <w:r w:rsidRPr="00AD30C5">
        <w:rPr>
          <w:rFonts w:ascii="Times New Roman" w:hAnsi="Times New Roman" w:cs="Times New Roman"/>
          <w:sz w:val="24"/>
          <w:szCs w:val="24"/>
        </w:rPr>
        <w:t xml:space="preserve"> </w:t>
      </w:r>
    </w:p>
    <w:p w14:paraId="6AA6B3C8" w14:textId="166D8BFA" w:rsidR="00052B2D" w:rsidRDefault="00052B2D" w:rsidP="0049598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Remacha, M. (2017), Empresa y objetivos de desarrollo sostenible. </w:t>
      </w:r>
      <w:r w:rsidRPr="00052B2D">
        <w:rPr>
          <w:rFonts w:ascii="Times New Roman" w:hAnsi="Times New Roman" w:cs="Times New Roman"/>
          <w:i/>
          <w:sz w:val="24"/>
          <w:szCs w:val="24"/>
        </w:rPr>
        <w:t>Cuadernos de la Cátedra CaixaBank de Responsabilidad Social Corporativa</w:t>
      </w:r>
      <w:r>
        <w:rPr>
          <w:rFonts w:ascii="Times New Roman" w:hAnsi="Times New Roman" w:cs="Times New Roman"/>
          <w:sz w:val="24"/>
          <w:szCs w:val="24"/>
        </w:rPr>
        <w:t xml:space="preserve">. N° 34 (abril 2017). IESE Business School. Universidad de Navarra. </w:t>
      </w:r>
    </w:p>
    <w:p w14:paraId="370B6B30" w14:textId="72AA7DD3" w:rsidR="000F2DB9" w:rsidRDefault="000F2DB9" w:rsidP="0049598A">
      <w:pPr>
        <w:spacing w:after="120" w:line="240" w:lineRule="auto"/>
        <w:ind w:left="720" w:hanging="720"/>
        <w:jc w:val="both"/>
        <w:rPr>
          <w:rStyle w:val="Hipervnculo"/>
          <w:rFonts w:ascii="Times New Roman" w:hAnsi="Times New Roman" w:cs="Times New Roman"/>
          <w:sz w:val="24"/>
          <w:szCs w:val="24"/>
        </w:rPr>
      </w:pPr>
      <w:r>
        <w:rPr>
          <w:rFonts w:ascii="Times New Roman" w:hAnsi="Times New Roman" w:cs="Times New Roman"/>
          <w:sz w:val="24"/>
          <w:szCs w:val="24"/>
        </w:rPr>
        <w:t>Ternium S.A. (2022). Reporte de Sustentabilidad 2021.</w:t>
      </w:r>
      <w:r w:rsidRPr="000F2DB9">
        <w:t xml:space="preserve"> </w:t>
      </w:r>
      <w:hyperlink r:id="rId16" w:history="1">
        <w:r w:rsidRPr="00D62895">
          <w:rPr>
            <w:rStyle w:val="Hipervnculo"/>
            <w:rFonts w:ascii="Times New Roman" w:hAnsi="Times New Roman" w:cs="Times New Roman"/>
            <w:sz w:val="24"/>
            <w:szCs w:val="24"/>
          </w:rPr>
          <w:t>https://ar.ternium.com/media/4gkph253/ternium-reporte-de-sustentabilidad-2021.pdf</w:t>
        </w:r>
      </w:hyperlink>
    </w:p>
    <w:p w14:paraId="2B340174" w14:textId="2A758686" w:rsidR="000F2DB9" w:rsidRDefault="00F33EC9" w:rsidP="0049598A">
      <w:pPr>
        <w:spacing w:after="120" w:line="240" w:lineRule="auto"/>
        <w:ind w:left="720" w:hanging="720"/>
        <w:jc w:val="both"/>
        <w:rPr>
          <w:rFonts w:ascii="Times New Roman" w:hAnsi="Times New Roman" w:cs="Times New Roman"/>
          <w:sz w:val="24"/>
          <w:szCs w:val="24"/>
        </w:rPr>
      </w:pPr>
      <w:r>
        <w:rPr>
          <w:rStyle w:val="Hipervnculo"/>
          <w:rFonts w:ascii="Times New Roman" w:hAnsi="Times New Roman" w:cs="Times New Roman"/>
          <w:color w:val="auto"/>
          <w:sz w:val="24"/>
          <w:szCs w:val="24"/>
          <w:u w:val="none"/>
        </w:rPr>
        <w:t xml:space="preserve">Toyota Argentina S.A. (2022). Reporte de Sustentabilidad 2020. </w:t>
      </w:r>
      <w:r w:rsidRPr="00F33EC9">
        <w:rPr>
          <w:rStyle w:val="Hipervnculo"/>
          <w:rFonts w:ascii="Times New Roman" w:hAnsi="Times New Roman" w:cs="Times New Roman"/>
          <w:color w:val="auto"/>
          <w:sz w:val="24"/>
          <w:szCs w:val="24"/>
          <w:u w:val="none"/>
        </w:rPr>
        <w:t>https://www.somostoyota.com.ar/storage/config/REPORTE%20SUSTENTABILIDAD%202020%20Final%20(1).p-svE82Y1vBB.pdf</w:t>
      </w:r>
    </w:p>
    <w:p w14:paraId="233D095C" w14:textId="414AC9AD" w:rsidR="005C143D" w:rsidRDefault="005C143D" w:rsidP="0049598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YPF S.A. (2022). Reporte de Sustentabilidad 2021. </w:t>
      </w:r>
      <w:hyperlink r:id="rId17" w:history="1">
        <w:r w:rsidRPr="00D62895">
          <w:rPr>
            <w:rStyle w:val="Hipervnculo"/>
            <w:rFonts w:ascii="Times New Roman" w:hAnsi="Times New Roman" w:cs="Times New Roman"/>
            <w:sz w:val="24"/>
            <w:szCs w:val="24"/>
          </w:rPr>
          <w:t>https://www.ypf.com/LaCompania/Documents/ypf-reporte-de-sustentabilidad-2021.pdf?_ga=2.253589513.1216174474.1661390757-1911260474.1619054910</w:t>
        </w:r>
      </w:hyperlink>
    </w:p>
    <w:p w14:paraId="0593D81D" w14:textId="29C4389D" w:rsidR="005C143D" w:rsidRDefault="005C143D" w:rsidP="0049598A">
      <w:pPr>
        <w:spacing w:after="120" w:line="240" w:lineRule="auto"/>
        <w:ind w:left="720" w:hanging="720"/>
        <w:jc w:val="both"/>
        <w:rPr>
          <w:rFonts w:ascii="Times New Roman" w:hAnsi="Times New Roman" w:cs="Times New Roman"/>
          <w:sz w:val="24"/>
          <w:szCs w:val="24"/>
        </w:rPr>
      </w:pPr>
    </w:p>
    <w:p w14:paraId="67BCA64A" w14:textId="4B445B1F" w:rsidR="00A1488E" w:rsidRDefault="00A1488E" w:rsidP="0049598A">
      <w:pPr>
        <w:spacing w:after="120" w:line="240" w:lineRule="auto"/>
        <w:ind w:left="720" w:hanging="720"/>
        <w:jc w:val="both"/>
        <w:rPr>
          <w:rFonts w:ascii="Times New Roman" w:hAnsi="Times New Roman" w:cs="Times New Roman"/>
          <w:sz w:val="24"/>
          <w:szCs w:val="24"/>
        </w:rPr>
      </w:pPr>
    </w:p>
    <w:p w14:paraId="18687FDE" w14:textId="77777777" w:rsidR="00A1488E" w:rsidRDefault="00A1488E" w:rsidP="0049598A">
      <w:pPr>
        <w:spacing w:after="120" w:line="240" w:lineRule="auto"/>
        <w:ind w:left="720" w:hanging="720"/>
        <w:jc w:val="both"/>
        <w:rPr>
          <w:rFonts w:ascii="Times New Roman" w:hAnsi="Times New Roman" w:cs="Times New Roman"/>
          <w:sz w:val="24"/>
          <w:szCs w:val="24"/>
        </w:rPr>
      </w:pPr>
    </w:p>
    <w:p w14:paraId="3B6E8B09" w14:textId="77777777" w:rsidR="00AD30C5" w:rsidRPr="00AD30C5" w:rsidRDefault="00AD30C5" w:rsidP="00AD30C5">
      <w:pPr>
        <w:spacing w:after="120" w:line="360" w:lineRule="auto"/>
        <w:ind w:left="720" w:hanging="720"/>
        <w:jc w:val="both"/>
        <w:rPr>
          <w:rFonts w:ascii="Times New Roman" w:hAnsi="Times New Roman" w:cs="Times New Roman"/>
          <w:sz w:val="24"/>
          <w:szCs w:val="24"/>
        </w:rPr>
      </w:pPr>
    </w:p>
    <w:p w14:paraId="68A4E238" w14:textId="40C60587" w:rsidR="0042064F" w:rsidRPr="0042064F" w:rsidRDefault="0042064F" w:rsidP="00D430D4">
      <w:pPr>
        <w:spacing w:after="0" w:line="360" w:lineRule="auto"/>
        <w:ind w:left="720" w:hanging="720"/>
        <w:jc w:val="both"/>
        <w:rPr>
          <w:rFonts w:ascii="Times New Roman" w:hAnsi="Times New Roman" w:cs="Times New Roman"/>
          <w:sz w:val="24"/>
          <w:szCs w:val="24"/>
        </w:rPr>
      </w:pPr>
    </w:p>
    <w:p w14:paraId="23707CF3" w14:textId="2E48B422" w:rsidR="008A08AD" w:rsidRPr="00CC0727" w:rsidRDefault="008A08AD" w:rsidP="00D430D4">
      <w:pPr>
        <w:spacing w:after="0" w:line="360" w:lineRule="auto"/>
        <w:ind w:left="720" w:hanging="720"/>
        <w:jc w:val="both"/>
        <w:rPr>
          <w:rFonts w:ascii="Times New Roman" w:hAnsi="Times New Roman" w:cs="Times New Roman"/>
          <w:b/>
          <w:sz w:val="24"/>
          <w:szCs w:val="24"/>
        </w:rPr>
      </w:pPr>
    </w:p>
    <w:p w14:paraId="13E82283" w14:textId="77777777" w:rsidR="004F6C79" w:rsidRPr="00763194" w:rsidRDefault="004F6C79" w:rsidP="00FC0E50">
      <w:pPr>
        <w:spacing w:after="0" w:line="240" w:lineRule="auto"/>
        <w:ind w:left="720" w:hanging="720"/>
        <w:jc w:val="both"/>
        <w:rPr>
          <w:rFonts w:ascii="Times New Roman" w:hAnsi="Times New Roman" w:cs="Times New Roman"/>
          <w:sz w:val="24"/>
          <w:szCs w:val="24"/>
        </w:rPr>
      </w:pPr>
    </w:p>
    <w:p w14:paraId="01F2FBEA" w14:textId="3A3B0071" w:rsidR="00400A53" w:rsidRDefault="00400A53" w:rsidP="004F6C79">
      <w:pPr>
        <w:spacing w:before="240" w:after="100" w:afterAutospacing="1" w:line="240" w:lineRule="atLeast"/>
        <w:ind w:left="720" w:hanging="720"/>
        <w:rPr>
          <w:rStyle w:val="Hipervnculo"/>
          <w:rFonts w:ascii="Times New Roman" w:hAnsi="Times New Roman" w:cs="Times New Roman"/>
          <w:color w:val="auto"/>
          <w:sz w:val="24"/>
          <w:szCs w:val="24"/>
          <w:u w:val="none"/>
        </w:rPr>
      </w:pPr>
    </w:p>
    <w:p w14:paraId="048CC6B9" w14:textId="27B04841" w:rsidR="007A34D1" w:rsidRDefault="007A34D1" w:rsidP="004F6C79">
      <w:pPr>
        <w:spacing w:before="240" w:after="100" w:afterAutospacing="1" w:line="240" w:lineRule="atLeast"/>
        <w:ind w:left="720" w:hanging="720"/>
        <w:rPr>
          <w:rStyle w:val="Hipervnculo"/>
          <w:rFonts w:ascii="Times New Roman" w:hAnsi="Times New Roman" w:cs="Times New Roman"/>
          <w:color w:val="auto"/>
          <w:sz w:val="24"/>
          <w:szCs w:val="24"/>
          <w:u w:val="none"/>
        </w:rPr>
      </w:pPr>
    </w:p>
    <w:p w14:paraId="2A5FA724" w14:textId="329BCBCC" w:rsidR="007A34D1" w:rsidRPr="00763194" w:rsidRDefault="007A34D1" w:rsidP="004F6C79">
      <w:pPr>
        <w:spacing w:before="240" w:after="100" w:afterAutospacing="1" w:line="240" w:lineRule="atLeast"/>
        <w:ind w:left="720" w:hanging="720"/>
        <w:rPr>
          <w:rStyle w:val="Hipervnculo"/>
          <w:rFonts w:ascii="Times New Roman" w:hAnsi="Times New Roman" w:cs="Times New Roman"/>
          <w:color w:val="auto"/>
          <w:sz w:val="24"/>
          <w:szCs w:val="24"/>
          <w:u w:val="none"/>
        </w:rPr>
      </w:pPr>
      <w:bookmarkStart w:id="0" w:name="_GoBack"/>
      <w:bookmarkEnd w:id="0"/>
    </w:p>
    <w:sectPr w:rsidR="007A34D1" w:rsidRPr="00763194" w:rsidSect="00F87BE5">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00C5"/>
    <w:multiLevelType w:val="hybridMultilevel"/>
    <w:tmpl w:val="D63A1E36"/>
    <w:lvl w:ilvl="0" w:tplc="0F8A757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85AD9"/>
    <w:multiLevelType w:val="hybridMultilevel"/>
    <w:tmpl w:val="D5B404B2"/>
    <w:lvl w:ilvl="0" w:tplc="4DF03FBE">
      <w:numFmt w:val="bullet"/>
      <w:lvlText w:val=""/>
      <w:lvlJc w:val="left"/>
      <w:pPr>
        <w:ind w:left="480" w:hanging="360"/>
      </w:pPr>
      <w:rPr>
        <w:rFonts w:ascii="Symbol" w:eastAsiaTheme="minorHAnsi" w:hAnsi="Symbol" w:cs="Times New Roman" w:hint="default"/>
        <w:b w:val="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17A5431E"/>
    <w:multiLevelType w:val="hybridMultilevel"/>
    <w:tmpl w:val="993E52FC"/>
    <w:lvl w:ilvl="0" w:tplc="2C0A000D">
      <w:start w:val="1"/>
      <w:numFmt w:val="bullet"/>
      <w:lvlText w:val=""/>
      <w:lvlJc w:val="left"/>
      <w:pPr>
        <w:ind w:left="1425" w:hanging="360"/>
      </w:pPr>
      <w:rPr>
        <w:rFonts w:ascii="Wingdings" w:hAnsi="Wingdings"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3" w15:restartNumberingAfterBreak="0">
    <w:nsid w:val="21C83825"/>
    <w:multiLevelType w:val="hybridMultilevel"/>
    <w:tmpl w:val="47D29882"/>
    <w:lvl w:ilvl="0" w:tplc="2AD20D2C">
      <w:start w:val="1"/>
      <w:numFmt w:val="lowerLetter"/>
      <w:lvlText w:val="%1."/>
      <w:lvlJc w:val="left"/>
      <w:pPr>
        <w:ind w:left="1682" w:hanging="311"/>
      </w:pPr>
      <w:rPr>
        <w:rFonts w:ascii="Trebuchet MS" w:eastAsia="Trebuchet MS" w:hAnsi="Trebuchet MS" w:cs="Trebuchet MS" w:hint="default"/>
        <w:b/>
        <w:bCs/>
        <w:color w:val="5C6065"/>
        <w:spacing w:val="0"/>
        <w:w w:val="65"/>
        <w:sz w:val="20"/>
        <w:szCs w:val="20"/>
        <w:lang w:val="es-ES" w:eastAsia="en-US" w:bidi="ar-SA"/>
      </w:rPr>
    </w:lvl>
    <w:lvl w:ilvl="1" w:tplc="CFB4B214">
      <w:start w:val="1"/>
      <w:numFmt w:val="lowerRoman"/>
      <w:lvlText w:val="%2."/>
      <w:lvlJc w:val="left"/>
      <w:pPr>
        <w:ind w:left="2362" w:hanging="341"/>
      </w:pPr>
      <w:rPr>
        <w:rFonts w:ascii="Trebuchet MS" w:eastAsia="Trebuchet MS" w:hAnsi="Trebuchet MS" w:cs="Trebuchet MS" w:hint="default"/>
        <w:b/>
        <w:bCs/>
        <w:color w:val="5C6065"/>
        <w:spacing w:val="0"/>
        <w:w w:val="65"/>
        <w:sz w:val="20"/>
        <w:szCs w:val="20"/>
        <w:lang w:val="es-ES" w:eastAsia="en-US" w:bidi="ar-SA"/>
      </w:rPr>
    </w:lvl>
    <w:lvl w:ilvl="2" w:tplc="4E4C2B68">
      <w:numFmt w:val="bullet"/>
      <w:lvlText w:val="•"/>
      <w:lvlJc w:val="left"/>
      <w:pPr>
        <w:ind w:left="3264" w:hanging="341"/>
      </w:pPr>
      <w:rPr>
        <w:rFonts w:hint="default"/>
        <w:lang w:val="es-ES" w:eastAsia="en-US" w:bidi="ar-SA"/>
      </w:rPr>
    </w:lvl>
    <w:lvl w:ilvl="3" w:tplc="86B0800A">
      <w:numFmt w:val="bullet"/>
      <w:lvlText w:val="•"/>
      <w:lvlJc w:val="left"/>
      <w:pPr>
        <w:ind w:left="4167" w:hanging="341"/>
      </w:pPr>
      <w:rPr>
        <w:rFonts w:hint="default"/>
        <w:lang w:val="es-ES" w:eastAsia="en-US" w:bidi="ar-SA"/>
      </w:rPr>
    </w:lvl>
    <w:lvl w:ilvl="4" w:tplc="6B1C789C">
      <w:numFmt w:val="bullet"/>
      <w:lvlText w:val="•"/>
      <w:lvlJc w:val="left"/>
      <w:pPr>
        <w:ind w:left="5070" w:hanging="341"/>
      </w:pPr>
      <w:rPr>
        <w:rFonts w:hint="default"/>
        <w:lang w:val="es-ES" w:eastAsia="en-US" w:bidi="ar-SA"/>
      </w:rPr>
    </w:lvl>
    <w:lvl w:ilvl="5" w:tplc="555C16F2">
      <w:numFmt w:val="bullet"/>
      <w:lvlText w:val="•"/>
      <w:lvlJc w:val="left"/>
      <w:pPr>
        <w:ind w:left="5973" w:hanging="341"/>
      </w:pPr>
      <w:rPr>
        <w:rFonts w:hint="default"/>
        <w:lang w:val="es-ES" w:eastAsia="en-US" w:bidi="ar-SA"/>
      </w:rPr>
    </w:lvl>
    <w:lvl w:ilvl="6" w:tplc="9A5C3902">
      <w:numFmt w:val="bullet"/>
      <w:lvlText w:val="•"/>
      <w:lvlJc w:val="left"/>
      <w:pPr>
        <w:ind w:left="6876" w:hanging="341"/>
      </w:pPr>
      <w:rPr>
        <w:rFonts w:hint="default"/>
        <w:lang w:val="es-ES" w:eastAsia="en-US" w:bidi="ar-SA"/>
      </w:rPr>
    </w:lvl>
    <w:lvl w:ilvl="7" w:tplc="86CA7E34">
      <w:numFmt w:val="bullet"/>
      <w:lvlText w:val="•"/>
      <w:lvlJc w:val="left"/>
      <w:pPr>
        <w:ind w:left="7779" w:hanging="341"/>
      </w:pPr>
      <w:rPr>
        <w:rFonts w:hint="default"/>
        <w:lang w:val="es-ES" w:eastAsia="en-US" w:bidi="ar-SA"/>
      </w:rPr>
    </w:lvl>
    <w:lvl w:ilvl="8" w:tplc="2C70221C">
      <w:numFmt w:val="bullet"/>
      <w:lvlText w:val="•"/>
      <w:lvlJc w:val="left"/>
      <w:pPr>
        <w:ind w:left="8682" w:hanging="341"/>
      </w:pPr>
      <w:rPr>
        <w:rFonts w:hint="default"/>
        <w:lang w:val="es-ES" w:eastAsia="en-US" w:bidi="ar-SA"/>
      </w:rPr>
    </w:lvl>
  </w:abstractNum>
  <w:abstractNum w:abstractNumId="4" w15:restartNumberingAfterBreak="0">
    <w:nsid w:val="2E95354F"/>
    <w:multiLevelType w:val="hybridMultilevel"/>
    <w:tmpl w:val="E81E7E30"/>
    <w:lvl w:ilvl="0" w:tplc="75F474A8">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2034E1E"/>
    <w:multiLevelType w:val="hybridMultilevel"/>
    <w:tmpl w:val="4C0CE0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F6A72"/>
    <w:multiLevelType w:val="hybridMultilevel"/>
    <w:tmpl w:val="E5881B5A"/>
    <w:lvl w:ilvl="0" w:tplc="2C0A000D">
      <w:start w:val="1"/>
      <w:numFmt w:val="bullet"/>
      <w:lvlText w:val=""/>
      <w:lvlJc w:val="left"/>
      <w:pPr>
        <w:ind w:left="1434" w:hanging="360"/>
      </w:pPr>
      <w:rPr>
        <w:rFonts w:ascii="Wingdings" w:hAnsi="Wingdings"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7" w15:restartNumberingAfterBreak="0">
    <w:nsid w:val="42395774"/>
    <w:multiLevelType w:val="hybridMultilevel"/>
    <w:tmpl w:val="6A6C4C4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15:restartNumberingAfterBreak="0">
    <w:nsid w:val="46F736EB"/>
    <w:multiLevelType w:val="hybridMultilevel"/>
    <w:tmpl w:val="03762D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56B80C17"/>
    <w:multiLevelType w:val="hybridMultilevel"/>
    <w:tmpl w:val="D708D5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AE2031"/>
    <w:multiLevelType w:val="hybridMultilevel"/>
    <w:tmpl w:val="4F189AF6"/>
    <w:lvl w:ilvl="0" w:tplc="768C6A56">
      <w:start w:val="1"/>
      <w:numFmt w:val="lowerLetter"/>
      <w:lvlText w:val="%1."/>
      <w:lvlJc w:val="left"/>
      <w:pPr>
        <w:ind w:left="1342" w:hanging="311"/>
      </w:pPr>
      <w:rPr>
        <w:rFonts w:ascii="Trebuchet MS" w:eastAsia="Trebuchet MS" w:hAnsi="Trebuchet MS" w:cs="Trebuchet MS" w:hint="default"/>
        <w:b/>
        <w:bCs/>
        <w:color w:val="5C6065"/>
        <w:spacing w:val="0"/>
        <w:w w:val="65"/>
        <w:sz w:val="20"/>
        <w:szCs w:val="20"/>
        <w:lang w:val="es-ES" w:eastAsia="en-US" w:bidi="ar-SA"/>
      </w:rPr>
    </w:lvl>
    <w:lvl w:ilvl="1" w:tplc="E8221E2C">
      <w:start w:val="1"/>
      <w:numFmt w:val="lowerRoman"/>
      <w:lvlText w:val="%2."/>
      <w:lvlJc w:val="left"/>
      <w:pPr>
        <w:ind w:left="2022" w:hanging="341"/>
      </w:pPr>
      <w:rPr>
        <w:rFonts w:ascii="Trebuchet MS" w:eastAsia="Trebuchet MS" w:hAnsi="Trebuchet MS" w:cs="Trebuchet MS" w:hint="default"/>
        <w:b/>
        <w:bCs/>
        <w:color w:val="5C6065"/>
        <w:w w:val="65"/>
        <w:sz w:val="20"/>
        <w:szCs w:val="20"/>
        <w:lang w:val="es-ES" w:eastAsia="en-US" w:bidi="ar-SA"/>
      </w:rPr>
    </w:lvl>
    <w:lvl w:ilvl="2" w:tplc="00F0683C">
      <w:numFmt w:val="bullet"/>
      <w:lvlText w:val="•"/>
      <w:lvlJc w:val="left"/>
      <w:pPr>
        <w:ind w:left="2925" w:hanging="341"/>
      </w:pPr>
      <w:rPr>
        <w:rFonts w:hint="default"/>
        <w:lang w:val="es-ES" w:eastAsia="en-US" w:bidi="ar-SA"/>
      </w:rPr>
    </w:lvl>
    <w:lvl w:ilvl="3" w:tplc="2F5E816A">
      <w:numFmt w:val="bullet"/>
      <w:lvlText w:val="•"/>
      <w:lvlJc w:val="left"/>
      <w:pPr>
        <w:ind w:left="3828" w:hanging="341"/>
      </w:pPr>
      <w:rPr>
        <w:rFonts w:hint="default"/>
        <w:lang w:val="es-ES" w:eastAsia="en-US" w:bidi="ar-SA"/>
      </w:rPr>
    </w:lvl>
    <w:lvl w:ilvl="4" w:tplc="319A710C">
      <w:numFmt w:val="bullet"/>
      <w:lvlText w:val="•"/>
      <w:lvlJc w:val="left"/>
      <w:pPr>
        <w:ind w:left="4732" w:hanging="341"/>
      </w:pPr>
      <w:rPr>
        <w:rFonts w:hint="default"/>
        <w:lang w:val="es-ES" w:eastAsia="en-US" w:bidi="ar-SA"/>
      </w:rPr>
    </w:lvl>
    <w:lvl w:ilvl="5" w:tplc="6E08C9F8">
      <w:numFmt w:val="bullet"/>
      <w:lvlText w:val="•"/>
      <w:lvlJc w:val="left"/>
      <w:pPr>
        <w:ind w:left="5635" w:hanging="341"/>
      </w:pPr>
      <w:rPr>
        <w:rFonts w:hint="default"/>
        <w:lang w:val="es-ES" w:eastAsia="en-US" w:bidi="ar-SA"/>
      </w:rPr>
    </w:lvl>
    <w:lvl w:ilvl="6" w:tplc="DAD252B0">
      <w:numFmt w:val="bullet"/>
      <w:lvlText w:val="•"/>
      <w:lvlJc w:val="left"/>
      <w:pPr>
        <w:ind w:left="6538" w:hanging="341"/>
      </w:pPr>
      <w:rPr>
        <w:rFonts w:hint="default"/>
        <w:lang w:val="es-ES" w:eastAsia="en-US" w:bidi="ar-SA"/>
      </w:rPr>
    </w:lvl>
    <w:lvl w:ilvl="7" w:tplc="96361530">
      <w:numFmt w:val="bullet"/>
      <w:lvlText w:val="•"/>
      <w:lvlJc w:val="left"/>
      <w:pPr>
        <w:ind w:left="7442" w:hanging="341"/>
      </w:pPr>
      <w:rPr>
        <w:rFonts w:hint="default"/>
        <w:lang w:val="es-ES" w:eastAsia="en-US" w:bidi="ar-SA"/>
      </w:rPr>
    </w:lvl>
    <w:lvl w:ilvl="8" w:tplc="4E3EF610">
      <w:numFmt w:val="bullet"/>
      <w:lvlText w:val="•"/>
      <w:lvlJc w:val="left"/>
      <w:pPr>
        <w:ind w:left="8345" w:hanging="341"/>
      </w:pPr>
      <w:rPr>
        <w:rFonts w:hint="default"/>
        <w:lang w:val="es-ES" w:eastAsia="en-US" w:bidi="ar-SA"/>
      </w:rPr>
    </w:lvl>
  </w:abstractNum>
  <w:abstractNum w:abstractNumId="11" w15:restartNumberingAfterBreak="0">
    <w:nsid w:val="63075177"/>
    <w:multiLevelType w:val="hybridMultilevel"/>
    <w:tmpl w:val="EEA286F8"/>
    <w:lvl w:ilvl="0" w:tplc="2C0A000D">
      <w:start w:val="1"/>
      <w:numFmt w:val="bullet"/>
      <w:lvlText w:val=""/>
      <w:lvlJc w:val="left"/>
      <w:pPr>
        <w:ind w:left="1425" w:hanging="360"/>
      </w:pPr>
      <w:rPr>
        <w:rFonts w:ascii="Wingdings" w:hAnsi="Wingdings"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12" w15:restartNumberingAfterBreak="0">
    <w:nsid w:val="660069AE"/>
    <w:multiLevelType w:val="hybridMultilevel"/>
    <w:tmpl w:val="0C1256BE"/>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3" w15:restartNumberingAfterBreak="0">
    <w:nsid w:val="6E82495C"/>
    <w:multiLevelType w:val="hybridMultilevel"/>
    <w:tmpl w:val="49F002A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28F2161"/>
    <w:multiLevelType w:val="hybridMultilevel"/>
    <w:tmpl w:val="71D0D958"/>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74885FC0"/>
    <w:multiLevelType w:val="hybridMultilevel"/>
    <w:tmpl w:val="29DAF46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77363121"/>
    <w:multiLevelType w:val="hybridMultilevel"/>
    <w:tmpl w:val="EB085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3"/>
  </w:num>
  <w:num w:numId="4">
    <w:abstractNumId w:val="2"/>
  </w:num>
  <w:num w:numId="5">
    <w:abstractNumId w:val="6"/>
  </w:num>
  <w:num w:numId="6">
    <w:abstractNumId w:val="1"/>
  </w:num>
  <w:num w:numId="7">
    <w:abstractNumId w:val="4"/>
  </w:num>
  <w:num w:numId="8">
    <w:abstractNumId w:val="0"/>
  </w:num>
  <w:num w:numId="9">
    <w:abstractNumId w:val="10"/>
  </w:num>
  <w:num w:numId="10">
    <w:abstractNumId w:val="3"/>
  </w:num>
  <w:num w:numId="11">
    <w:abstractNumId w:val="7"/>
  </w:num>
  <w:num w:numId="12">
    <w:abstractNumId w:val="8"/>
  </w:num>
  <w:num w:numId="13">
    <w:abstractNumId w:val="5"/>
  </w:num>
  <w:num w:numId="14">
    <w:abstractNumId w:val="15"/>
  </w:num>
  <w:num w:numId="15">
    <w:abstractNumId w:val="1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EF"/>
    <w:rsid w:val="00002E5B"/>
    <w:rsid w:val="0000567D"/>
    <w:rsid w:val="00005763"/>
    <w:rsid w:val="00005A00"/>
    <w:rsid w:val="0000617C"/>
    <w:rsid w:val="00017DF3"/>
    <w:rsid w:val="0002615A"/>
    <w:rsid w:val="00027F1C"/>
    <w:rsid w:val="000523EF"/>
    <w:rsid w:val="00052B2D"/>
    <w:rsid w:val="00053921"/>
    <w:rsid w:val="000545B0"/>
    <w:rsid w:val="00056AA8"/>
    <w:rsid w:val="00062DE1"/>
    <w:rsid w:val="00070140"/>
    <w:rsid w:val="00074099"/>
    <w:rsid w:val="00087CF6"/>
    <w:rsid w:val="000949E6"/>
    <w:rsid w:val="00097012"/>
    <w:rsid w:val="000A4B9F"/>
    <w:rsid w:val="000B4E98"/>
    <w:rsid w:val="000C1F95"/>
    <w:rsid w:val="000D0CD9"/>
    <w:rsid w:val="000D194F"/>
    <w:rsid w:val="000D7E72"/>
    <w:rsid w:val="000E2D9B"/>
    <w:rsid w:val="000F2DB9"/>
    <w:rsid w:val="000F3CD3"/>
    <w:rsid w:val="000F52D8"/>
    <w:rsid w:val="00104045"/>
    <w:rsid w:val="0011167B"/>
    <w:rsid w:val="00112157"/>
    <w:rsid w:val="00112472"/>
    <w:rsid w:val="00121CBC"/>
    <w:rsid w:val="00122DEB"/>
    <w:rsid w:val="00123274"/>
    <w:rsid w:val="00150504"/>
    <w:rsid w:val="001512B0"/>
    <w:rsid w:val="00151ADE"/>
    <w:rsid w:val="001711E4"/>
    <w:rsid w:val="0017175F"/>
    <w:rsid w:val="001824D2"/>
    <w:rsid w:val="00187FC9"/>
    <w:rsid w:val="00190A3D"/>
    <w:rsid w:val="001916EF"/>
    <w:rsid w:val="0019539B"/>
    <w:rsid w:val="001B3582"/>
    <w:rsid w:val="001B4C8D"/>
    <w:rsid w:val="001C25F9"/>
    <w:rsid w:val="001D064A"/>
    <w:rsid w:val="001E2D6D"/>
    <w:rsid w:val="001E4829"/>
    <w:rsid w:val="001E52C6"/>
    <w:rsid w:val="001E6FDC"/>
    <w:rsid w:val="001F04B2"/>
    <w:rsid w:val="00200903"/>
    <w:rsid w:val="0020633A"/>
    <w:rsid w:val="00207938"/>
    <w:rsid w:val="0022165D"/>
    <w:rsid w:val="0022260F"/>
    <w:rsid w:val="00223904"/>
    <w:rsid w:val="002241F3"/>
    <w:rsid w:val="00225A4C"/>
    <w:rsid w:val="00232410"/>
    <w:rsid w:val="002645BE"/>
    <w:rsid w:val="002700FA"/>
    <w:rsid w:val="00272548"/>
    <w:rsid w:val="002736F5"/>
    <w:rsid w:val="00276A25"/>
    <w:rsid w:val="002B2DDE"/>
    <w:rsid w:val="002B529A"/>
    <w:rsid w:val="002C0E7B"/>
    <w:rsid w:val="002C271F"/>
    <w:rsid w:val="002D2F79"/>
    <w:rsid w:val="002D5E18"/>
    <w:rsid w:val="002E1997"/>
    <w:rsid w:val="002E1ABD"/>
    <w:rsid w:val="002E48F0"/>
    <w:rsid w:val="002F209B"/>
    <w:rsid w:val="002F3A35"/>
    <w:rsid w:val="003028CB"/>
    <w:rsid w:val="00312AE1"/>
    <w:rsid w:val="00326F50"/>
    <w:rsid w:val="00327ADB"/>
    <w:rsid w:val="00330AF2"/>
    <w:rsid w:val="00332E70"/>
    <w:rsid w:val="00340C54"/>
    <w:rsid w:val="00347AD7"/>
    <w:rsid w:val="00355F37"/>
    <w:rsid w:val="00361FF0"/>
    <w:rsid w:val="00365248"/>
    <w:rsid w:val="003733DF"/>
    <w:rsid w:val="00380928"/>
    <w:rsid w:val="00383802"/>
    <w:rsid w:val="00384D2D"/>
    <w:rsid w:val="0039746C"/>
    <w:rsid w:val="003A4378"/>
    <w:rsid w:val="003A6678"/>
    <w:rsid w:val="003B5178"/>
    <w:rsid w:val="003C180C"/>
    <w:rsid w:val="003C1FD4"/>
    <w:rsid w:val="003C29D8"/>
    <w:rsid w:val="003C4076"/>
    <w:rsid w:val="003D0DFC"/>
    <w:rsid w:val="003E4BAD"/>
    <w:rsid w:val="003F074B"/>
    <w:rsid w:val="003F0F02"/>
    <w:rsid w:val="003F2318"/>
    <w:rsid w:val="003F3BC5"/>
    <w:rsid w:val="003F5429"/>
    <w:rsid w:val="00400A53"/>
    <w:rsid w:val="00404730"/>
    <w:rsid w:val="00410449"/>
    <w:rsid w:val="0041219D"/>
    <w:rsid w:val="00416AD2"/>
    <w:rsid w:val="00416D1F"/>
    <w:rsid w:val="0042064F"/>
    <w:rsid w:val="00423C02"/>
    <w:rsid w:val="0042648A"/>
    <w:rsid w:val="00431BA4"/>
    <w:rsid w:val="00433A75"/>
    <w:rsid w:val="004450C8"/>
    <w:rsid w:val="00465CAC"/>
    <w:rsid w:val="00465ED6"/>
    <w:rsid w:val="0047154C"/>
    <w:rsid w:val="004725FB"/>
    <w:rsid w:val="00472A4D"/>
    <w:rsid w:val="00476DFF"/>
    <w:rsid w:val="00480911"/>
    <w:rsid w:val="004817C8"/>
    <w:rsid w:val="00484565"/>
    <w:rsid w:val="00485328"/>
    <w:rsid w:val="00485840"/>
    <w:rsid w:val="00490438"/>
    <w:rsid w:val="0049598A"/>
    <w:rsid w:val="00495CE7"/>
    <w:rsid w:val="004C0C00"/>
    <w:rsid w:val="004C27FB"/>
    <w:rsid w:val="004D24CA"/>
    <w:rsid w:val="004E5AA5"/>
    <w:rsid w:val="004F6C79"/>
    <w:rsid w:val="0050101B"/>
    <w:rsid w:val="00505EAB"/>
    <w:rsid w:val="00506C61"/>
    <w:rsid w:val="00520AC1"/>
    <w:rsid w:val="00521FA4"/>
    <w:rsid w:val="00525E77"/>
    <w:rsid w:val="00533604"/>
    <w:rsid w:val="00542874"/>
    <w:rsid w:val="00557368"/>
    <w:rsid w:val="0056329F"/>
    <w:rsid w:val="005646A4"/>
    <w:rsid w:val="005662E7"/>
    <w:rsid w:val="005701BD"/>
    <w:rsid w:val="00590FCB"/>
    <w:rsid w:val="005918DC"/>
    <w:rsid w:val="00593E54"/>
    <w:rsid w:val="005A0BF3"/>
    <w:rsid w:val="005A1005"/>
    <w:rsid w:val="005A2DBF"/>
    <w:rsid w:val="005A32E3"/>
    <w:rsid w:val="005B2315"/>
    <w:rsid w:val="005B2C29"/>
    <w:rsid w:val="005B4006"/>
    <w:rsid w:val="005B47B8"/>
    <w:rsid w:val="005B63A6"/>
    <w:rsid w:val="005B748A"/>
    <w:rsid w:val="005C143D"/>
    <w:rsid w:val="005C5346"/>
    <w:rsid w:val="005D435B"/>
    <w:rsid w:val="005E1024"/>
    <w:rsid w:val="005E4430"/>
    <w:rsid w:val="005E7D73"/>
    <w:rsid w:val="005F3327"/>
    <w:rsid w:val="005F569E"/>
    <w:rsid w:val="00603FD6"/>
    <w:rsid w:val="00605D90"/>
    <w:rsid w:val="00607C90"/>
    <w:rsid w:val="00615956"/>
    <w:rsid w:val="00616037"/>
    <w:rsid w:val="0062063A"/>
    <w:rsid w:val="00620A38"/>
    <w:rsid w:val="006243BD"/>
    <w:rsid w:val="00651640"/>
    <w:rsid w:val="00660335"/>
    <w:rsid w:val="006607CE"/>
    <w:rsid w:val="00661C5B"/>
    <w:rsid w:val="00666647"/>
    <w:rsid w:val="00667C5F"/>
    <w:rsid w:val="00672758"/>
    <w:rsid w:val="0067283C"/>
    <w:rsid w:val="00680195"/>
    <w:rsid w:val="00683669"/>
    <w:rsid w:val="00683694"/>
    <w:rsid w:val="00684D06"/>
    <w:rsid w:val="00685424"/>
    <w:rsid w:val="00693DEB"/>
    <w:rsid w:val="006B172D"/>
    <w:rsid w:val="006B6BD7"/>
    <w:rsid w:val="006C1528"/>
    <w:rsid w:val="006D2EAA"/>
    <w:rsid w:val="006D6793"/>
    <w:rsid w:val="006D71D5"/>
    <w:rsid w:val="006F33CE"/>
    <w:rsid w:val="006F72A9"/>
    <w:rsid w:val="00710927"/>
    <w:rsid w:val="00715CE7"/>
    <w:rsid w:val="0071702B"/>
    <w:rsid w:val="00724A46"/>
    <w:rsid w:val="00740900"/>
    <w:rsid w:val="00754031"/>
    <w:rsid w:val="00763194"/>
    <w:rsid w:val="00766F21"/>
    <w:rsid w:val="0078221A"/>
    <w:rsid w:val="00782DE2"/>
    <w:rsid w:val="007876AF"/>
    <w:rsid w:val="00787BED"/>
    <w:rsid w:val="007925C5"/>
    <w:rsid w:val="007A34D1"/>
    <w:rsid w:val="007A4697"/>
    <w:rsid w:val="007A73BC"/>
    <w:rsid w:val="007B4894"/>
    <w:rsid w:val="007B5EDF"/>
    <w:rsid w:val="007C1BC6"/>
    <w:rsid w:val="007D0EBF"/>
    <w:rsid w:val="007D2F83"/>
    <w:rsid w:val="007D3303"/>
    <w:rsid w:val="007D4941"/>
    <w:rsid w:val="007D50A5"/>
    <w:rsid w:val="007E7928"/>
    <w:rsid w:val="007E7FA9"/>
    <w:rsid w:val="007F4002"/>
    <w:rsid w:val="007F570D"/>
    <w:rsid w:val="008062AA"/>
    <w:rsid w:val="00813B17"/>
    <w:rsid w:val="00822CFE"/>
    <w:rsid w:val="00824224"/>
    <w:rsid w:val="00831757"/>
    <w:rsid w:val="00832940"/>
    <w:rsid w:val="00837DB7"/>
    <w:rsid w:val="00843285"/>
    <w:rsid w:val="0084595A"/>
    <w:rsid w:val="00851CB8"/>
    <w:rsid w:val="00860F82"/>
    <w:rsid w:val="00880239"/>
    <w:rsid w:val="0088427E"/>
    <w:rsid w:val="00885260"/>
    <w:rsid w:val="00885D07"/>
    <w:rsid w:val="008A08AD"/>
    <w:rsid w:val="008A1554"/>
    <w:rsid w:val="008B4306"/>
    <w:rsid w:val="008B48B1"/>
    <w:rsid w:val="008F2481"/>
    <w:rsid w:val="008F2565"/>
    <w:rsid w:val="008F2DE1"/>
    <w:rsid w:val="008F496E"/>
    <w:rsid w:val="0090006C"/>
    <w:rsid w:val="00900B79"/>
    <w:rsid w:val="009034F3"/>
    <w:rsid w:val="0092218C"/>
    <w:rsid w:val="00927391"/>
    <w:rsid w:val="00931A36"/>
    <w:rsid w:val="009326DF"/>
    <w:rsid w:val="00935E21"/>
    <w:rsid w:val="00940EA5"/>
    <w:rsid w:val="00943E14"/>
    <w:rsid w:val="00944E8D"/>
    <w:rsid w:val="00950876"/>
    <w:rsid w:val="00953838"/>
    <w:rsid w:val="009642DA"/>
    <w:rsid w:val="00967997"/>
    <w:rsid w:val="00985036"/>
    <w:rsid w:val="0099091B"/>
    <w:rsid w:val="0099163E"/>
    <w:rsid w:val="009A3ED1"/>
    <w:rsid w:val="009A521A"/>
    <w:rsid w:val="009A68ED"/>
    <w:rsid w:val="009B777D"/>
    <w:rsid w:val="009B7CEB"/>
    <w:rsid w:val="009C2B67"/>
    <w:rsid w:val="009D4669"/>
    <w:rsid w:val="009D5C48"/>
    <w:rsid w:val="009D6DFD"/>
    <w:rsid w:val="009E5562"/>
    <w:rsid w:val="00A028B8"/>
    <w:rsid w:val="00A031D6"/>
    <w:rsid w:val="00A1488E"/>
    <w:rsid w:val="00A42FDC"/>
    <w:rsid w:val="00A437A1"/>
    <w:rsid w:val="00A46586"/>
    <w:rsid w:val="00A64641"/>
    <w:rsid w:val="00A65382"/>
    <w:rsid w:val="00A66C88"/>
    <w:rsid w:val="00A7115D"/>
    <w:rsid w:val="00A86352"/>
    <w:rsid w:val="00AA1D4E"/>
    <w:rsid w:val="00AB418E"/>
    <w:rsid w:val="00AB4C1B"/>
    <w:rsid w:val="00AB5C32"/>
    <w:rsid w:val="00AC0550"/>
    <w:rsid w:val="00AC5A8B"/>
    <w:rsid w:val="00AD30C5"/>
    <w:rsid w:val="00AE58EF"/>
    <w:rsid w:val="00AE6A47"/>
    <w:rsid w:val="00AF3C94"/>
    <w:rsid w:val="00B027EC"/>
    <w:rsid w:val="00B05B50"/>
    <w:rsid w:val="00B05CF0"/>
    <w:rsid w:val="00B072D3"/>
    <w:rsid w:val="00B10AEF"/>
    <w:rsid w:val="00B1617D"/>
    <w:rsid w:val="00B16AD9"/>
    <w:rsid w:val="00B17DEE"/>
    <w:rsid w:val="00B21A39"/>
    <w:rsid w:val="00B30F74"/>
    <w:rsid w:val="00B354D3"/>
    <w:rsid w:val="00B36EDD"/>
    <w:rsid w:val="00B36F7C"/>
    <w:rsid w:val="00B375AA"/>
    <w:rsid w:val="00B40198"/>
    <w:rsid w:val="00B53EF5"/>
    <w:rsid w:val="00B61DE5"/>
    <w:rsid w:val="00B65743"/>
    <w:rsid w:val="00B71049"/>
    <w:rsid w:val="00B761BE"/>
    <w:rsid w:val="00B8575C"/>
    <w:rsid w:val="00B97679"/>
    <w:rsid w:val="00BA2978"/>
    <w:rsid w:val="00BA50F3"/>
    <w:rsid w:val="00BB0E7A"/>
    <w:rsid w:val="00BB47A2"/>
    <w:rsid w:val="00BB60BB"/>
    <w:rsid w:val="00BC4850"/>
    <w:rsid w:val="00BD06E6"/>
    <w:rsid w:val="00BD17FC"/>
    <w:rsid w:val="00BD3FA2"/>
    <w:rsid w:val="00BE055A"/>
    <w:rsid w:val="00BF046E"/>
    <w:rsid w:val="00C037A5"/>
    <w:rsid w:val="00C05A80"/>
    <w:rsid w:val="00C13142"/>
    <w:rsid w:val="00C22872"/>
    <w:rsid w:val="00C2504D"/>
    <w:rsid w:val="00C25653"/>
    <w:rsid w:val="00C27B43"/>
    <w:rsid w:val="00C410F7"/>
    <w:rsid w:val="00C46747"/>
    <w:rsid w:val="00C56193"/>
    <w:rsid w:val="00C65FF7"/>
    <w:rsid w:val="00C67A35"/>
    <w:rsid w:val="00C74D67"/>
    <w:rsid w:val="00C9443B"/>
    <w:rsid w:val="00C97BFF"/>
    <w:rsid w:val="00CA6ED9"/>
    <w:rsid w:val="00CC0727"/>
    <w:rsid w:val="00CE02B0"/>
    <w:rsid w:val="00CF070C"/>
    <w:rsid w:val="00CF487E"/>
    <w:rsid w:val="00D032BB"/>
    <w:rsid w:val="00D159EB"/>
    <w:rsid w:val="00D23595"/>
    <w:rsid w:val="00D368CC"/>
    <w:rsid w:val="00D430D4"/>
    <w:rsid w:val="00D57161"/>
    <w:rsid w:val="00D619AC"/>
    <w:rsid w:val="00D71E68"/>
    <w:rsid w:val="00D7485B"/>
    <w:rsid w:val="00D76310"/>
    <w:rsid w:val="00D76C40"/>
    <w:rsid w:val="00DB42DD"/>
    <w:rsid w:val="00DB4DD6"/>
    <w:rsid w:val="00DC3D21"/>
    <w:rsid w:val="00DC78ED"/>
    <w:rsid w:val="00DD2C2E"/>
    <w:rsid w:val="00DE3395"/>
    <w:rsid w:val="00DF12B0"/>
    <w:rsid w:val="00DF502A"/>
    <w:rsid w:val="00E12267"/>
    <w:rsid w:val="00E1553D"/>
    <w:rsid w:val="00E1614A"/>
    <w:rsid w:val="00E21361"/>
    <w:rsid w:val="00E41174"/>
    <w:rsid w:val="00E4172A"/>
    <w:rsid w:val="00E46D55"/>
    <w:rsid w:val="00E46EB1"/>
    <w:rsid w:val="00E47870"/>
    <w:rsid w:val="00E56346"/>
    <w:rsid w:val="00E64352"/>
    <w:rsid w:val="00E7152A"/>
    <w:rsid w:val="00E743A3"/>
    <w:rsid w:val="00E75850"/>
    <w:rsid w:val="00E82C1D"/>
    <w:rsid w:val="00E84847"/>
    <w:rsid w:val="00E84A67"/>
    <w:rsid w:val="00E8654A"/>
    <w:rsid w:val="00EA3A6E"/>
    <w:rsid w:val="00EA413A"/>
    <w:rsid w:val="00EA6CD0"/>
    <w:rsid w:val="00EB3BD4"/>
    <w:rsid w:val="00ED0BD5"/>
    <w:rsid w:val="00ED5BE1"/>
    <w:rsid w:val="00EE205D"/>
    <w:rsid w:val="00EF3A0F"/>
    <w:rsid w:val="00EF457D"/>
    <w:rsid w:val="00F00BF1"/>
    <w:rsid w:val="00F02D8E"/>
    <w:rsid w:val="00F054F6"/>
    <w:rsid w:val="00F102F1"/>
    <w:rsid w:val="00F17A1E"/>
    <w:rsid w:val="00F2040E"/>
    <w:rsid w:val="00F21CE6"/>
    <w:rsid w:val="00F23DBC"/>
    <w:rsid w:val="00F33EC9"/>
    <w:rsid w:val="00F46E59"/>
    <w:rsid w:val="00F505F6"/>
    <w:rsid w:val="00F50B9E"/>
    <w:rsid w:val="00F526A0"/>
    <w:rsid w:val="00F735F6"/>
    <w:rsid w:val="00F7414D"/>
    <w:rsid w:val="00F82D44"/>
    <w:rsid w:val="00F87BE5"/>
    <w:rsid w:val="00FA0F93"/>
    <w:rsid w:val="00FA2509"/>
    <w:rsid w:val="00FA4EBE"/>
    <w:rsid w:val="00FB3EC7"/>
    <w:rsid w:val="00FC0E50"/>
    <w:rsid w:val="00FD0C6F"/>
    <w:rsid w:val="00FD385C"/>
    <w:rsid w:val="00FD4CEA"/>
    <w:rsid w:val="00FD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F0E5"/>
  <w15:chartTrackingRefBased/>
  <w15:docId w15:val="{C40BA9F8-C1D7-4B53-B619-D3C87EB2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4DD6"/>
    <w:rPr>
      <w:color w:val="0563C1" w:themeColor="hyperlink"/>
      <w:u w:val="single"/>
    </w:rPr>
  </w:style>
  <w:style w:type="paragraph" w:styleId="Prrafodelista">
    <w:name w:val="List Paragraph"/>
    <w:basedOn w:val="Normal"/>
    <w:uiPriority w:val="34"/>
    <w:qFormat/>
    <w:rsid w:val="00384D2D"/>
    <w:pPr>
      <w:spacing w:after="200" w:line="276" w:lineRule="auto"/>
      <w:ind w:left="720"/>
      <w:contextualSpacing/>
    </w:pPr>
  </w:style>
  <w:style w:type="paragraph" w:styleId="Textoindependiente">
    <w:name w:val="Body Text"/>
    <w:basedOn w:val="Normal"/>
    <w:link w:val="TextoindependienteCar"/>
    <w:uiPriority w:val="1"/>
    <w:qFormat/>
    <w:rsid w:val="00416AD2"/>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416AD2"/>
    <w:rPr>
      <w:rFonts w:ascii="Times New Roman" w:eastAsia="Times New Roman" w:hAnsi="Times New Roman" w:cs="Times New Roman"/>
      <w:lang w:val="es-ES"/>
    </w:rPr>
  </w:style>
  <w:style w:type="table" w:styleId="Tablaconcuadrcula">
    <w:name w:val="Table Grid"/>
    <w:basedOn w:val="Tablanormal"/>
    <w:uiPriority w:val="39"/>
    <w:rsid w:val="0040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198"/>
    <w:pPr>
      <w:autoSpaceDE w:val="0"/>
      <w:autoSpaceDN w:val="0"/>
      <w:adjustRightInd w:val="0"/>
      <w:spacing w:after="0" w:line="240" w:lineRule="auto"/>
    </w:pPr>
    <w:rPr>
      <w:rFonts w:ascii="Myriad Pro" w:hAnsi="Myriad Pro" w:cs="Myriad Pro"/>
      <w:color w:val="000000"/>
      <w:sz w:val="24"/>
      <w:szCs w:val="24"/>
      <w:lang w:val="es-AR"/>
    </w:rPr>
  </w:style>
  <w:style w:type="paragraph" w:styleId="HTMLconformatoprevio">
    <w:name w:val="HTML Preformatted"/>
    <w:basedOn w:val="Normal"/>
    <w:link w:val="HTMLconformatoprevioCar"/>
    <w:uiPriority w:val="99"/>
    <w:semiHidden/>
    <w:unhideWhenUsed/>
    <w:rsid w:val="003C1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3C1FD4"/>
    <w:rPr>
      <w:rFonts w:ascii="Courier New" w:eastAsia="Times New Roman" w:hAnsi="Courier New" w:cs="Courier New"/>
      <w:sz w:val="20"/>
      <w:szCs w:val="20"/>
    </w:rPr>
  </w:style>
  <w:style w:type="character" w:customStyle="1" w:styleId="y2iqfc">
    <w:name w:val="y2iqfc"/>
    <w:basedOn w:val="Fuentedeprrafopredeter"/>
    <w:rsid w:val="003C1FD4"/>
  </w:style>
  <w:style w:type="paragraph" w:styleId="Bibliografa">
    <w:name w:val="Bibliography"/>
    <w:basedOn w:val="Normal"/>
    <w:next w:val="Normal"/>
    <w:uiPriority w:val="37"/>
    <w:semiHidden/>
    <w:unhideWhenUsed/>
    <w:rsid w:val="00C27B43"/>
  </w:style>
  <w:style w:type="paragraph" w:styleId="NormalWeb">
    <w:name w:val="Normal (Web)"/>
    <w:basedOn w:val="Normal"/>
    <w:uiPriority w:val="99"/>
    <w:semiHidden/>
    <w:unhideWhenUsed/>
    <w:rsid w:val="00BF046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8963">
      <w:bodyDiv w:val="1"/>
      <w:marLeft w:val="0"/>
      <w:marRight w:val="0"/>
      <w:marTop w:val="0"/>
      <w:marBottom w:val="0"/>
      <w:divBdr>
        <w:top w:val="none" w:sz="0" w:space="0" w:color="auto"/>
        <w:left w:val="none" w:sz="0" w:space="0" w:color="auto"/>
        <w:bottom w:val="none" w:sz="0" w:space="0" w:color="auto"/>
        <w:right w:val="none" w:sz="0" w:space="0" w:color="auto"/>
      </w:divBdr>
    </w:div>
    <w:div w:id="137191576">
      <w:bodyDiv w:val="1"/>
      <w:marLeft w:val="0"/>
      <w:marRight w:val="0"/>
      <w:marTop w:val="0"/>
      <w:marBottom w:val="0"/>
      <w:divBdr>
        <w:top w:val="none" w:sz="0" w:space="0" w:color="auto"/>
        <w:left w:val="none" w:sz="0" w:space="0" w:color="auto"/>
        <w:bottom w:val="none" w:sz="0" w:space="0" w:color="auto"/>
        <w:right w:val="none" w:sz="0" w:space="0" w:color="auto"/>
      </w:divBdr>
    </w:div>
    <w:div w:id="213781709">
      <w:bodyDiv w:val="1"/>
      <w:marLeft w:val="0"/>
      <w:marRight w:val="0"/>
      <w:marTop w:val="0"/>
      <w:marBottom w:val="0"/>
      <w:divBdr>
        <w:top w:val="none" w:sz="0" w:space="0" w:color="auto"/>
        <w:left w:val="none" w:sz="0" w:space="0" w:color="auto"/>
        <w:bottom w:val="none" w:sz="0" w:space="0" w:color="auto"/>
        <w:right w:val="none" w:sz="0" w:space="0" w:color="auto"/>
      </w:divBdr>
    </w:div>
    <w:div w:id="534587440">
      <w:bodyDiv w:val="1"/>
      <w:marLeft w:val="0"/>
      <w:marRight w:val="0"/>
      <w:marTop w:val="0"/>
      <w:marBottom w:val="0"/>
      <w:divBdr>
        <w:top w:val="none" w:sz="0" w:space="0" w:color="auto"/>
        <w:left w:val="none" w:sz="0" w:space="0" w:color="auto"/>
        <w:bottom w:val="none" w:sz="0" w:space="0" w:color="auto"/>
        <w:right w:val="none" w:sz="0" w:space="0" w:color="auto"/>
      </w:divBdr>
    </w:div>
    <w:div w:id="554780001">
      <w:bodyDiv w:val="1"/>
      <w:marLeft w:val="0"/>
      <w:marRight w:val="0"/>
      <w:marTop w:val="0"/>
      <w:marBottom w:val="0"/>
      <w:divBdr>
        <w:top w:val="none" w:sz="0" w:space="0" w:color="auto"/>
        <w:left w:val="none" w:sz="0" w:space="0" w:color="auto"/>
        <w:bottom w:val="none" w:sz="0" w:space="0" w:color="auto"/>
        <w:right w:val="none" w:sz="0" w:space="0" w:color="auto"/>
      </w:divBdr>
    </w:div>
    <w:div w:id="20851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pactomundial.org/wp-%09content/uploads/2018/07/Matriz-Industrial-de-los-ODS_Alimentaci%C3%B3n-%09bebidas-y-bienes-de-consumo-.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es/chronicle/article/objetivo-6-hacer-frente-al-reto-posibilitar-el-acceso-al-agua-limpia-y-potable-en-todo-el-mundo" TargetMode="External"/><Relationship Id="rId12" Type="http://schemas.openxmlformats.org/officeDocument/2006/relationships/hyperlink" Target="https://www.un.org/sustainabledevelopment/es/water-and-sanitation/" TargetMode="External"/><Relationship Id="rId17" Type="http://schemas.openxmlformats.org/officeDocument/2006/relationships/hyperlink" Target="https://www.ypf.com/LaCompania/Documents/ypf-reporte-de-sustentabilidad-2021.pdf?_ga=2.253589513.1216174474.1661390757-1911260474.1619054910" TargetMode="External"/><Relationship Id="rId2" Type="http://schemas.openxmlformats.org/officeDocument/2006/relationships/styles" Target="styles.xml"/><Relationship Id="rId16" Type="http://schemas.openxmlformats.org/officeDocument/2006/relationships/hyperlink" Target="https://ar.ternium.com/media/4gkph253/ternium-reporte-de-sustentabilidad-2021.pdf"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www.molinosagro.com.ar/wp-content/uploads/2022/08/Reporte-2021-" TargetMode="External"/><Relationship Id="rId5" Type="http://schemas.openxmlformats.org/officeDocument/2006/relationships/hyperlink" Target="about:blank" TargetMode="External"/><Relationship Id="rId15" Type="http://schemas.openxmlformats.org/officeDocument/2006/relationships/hyperlink" Target="https://www.pactomundial.org/ods/6-agua-limpia-y-saneamiento/" TargetMode="External"/><Relationship Id="rId10" Type="http://schemas.openxmlformats.org/officeDocument/2006/relationships/hyperlink" Target="https://sdgcompass.org/wp-content/uploads/2016/06/SDG_Compass_Spanish-one-pager-view.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3.amazonaws.com/aws-bsdc/BSDC-LAC-report-espanol.pdf" TargetMode="External"/><Relationship Id="rId14" Type="http://schemas.openxmlformats.org/officeDocument/2006/relationships/hyperlink" Target="https://www.pactomundial.org/wp-content/uploads/2017/02/Guia_ODS_PM_20170215_we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5302</Words>
  <Characters>30227</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2</cp:revision>
  <cp:lastPrinted>2021-08-31T00:15:00Z</cp:lastPrinted>
  <dcterms:created xsi:type="dcterms:W3CDTF">2022-08-30T00:33:00Z</dcterms:created>
  <dcterms:modified xsi:type="dcterms:W3CDTF">2022-08-30T00:33:00Z</dcterms:modified>
</cp:coreProperties>
</file>