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857B" w14:textId="55E3F7C0" w:rsidR="002E63A7" w:rsidRDefault="002E63A7" w:rsidP="006D6152">
      <w:pPr>
        <w:spacing w:line="360" w:lineRule="auto"/>
        <w:jc w:val="both"/>
        <w:rPr>
          <w:rFonts w:ascii="Times New Roman" w:hAnsi="Times New Roman" w:cs="Times New Roman"/>
          <w:sz w:val="24"/>
          <w:szCs w:val="24"/>
          <w:u w:val="single"/>
        </w:rPr>
      </w:pPr>
      <w:r>
        <w:rPr>
          <w:b/>
          <w:bCs/>
          <w:noProof/>
          <w:color w:val="000000"/>
          <w:lang w:val="en-US"/>
        </w:rPr>
        <w:drawing>
          <wp:inline distT="0" distB="0" distL="0" distR="0" wp14:anchorId="25A46A67" wp14:editId="2F92A93E">
            <wp:extent cx="5399678" cy="2225040"/>
            <wp:effectExtent l="0" t="0" r="0" b="3810"/>
            <wp:docPr id="8649099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4954" cy="2227214"/>
                    </a:xfrm>
                    <a:prstGeom prst="rect">
                      <a:avLst/>
                    </a:prstGeom>
                    <a:noFill/>
                  </pic:spPr>
                </pic:pic>
              </a:graphicData>
            </a:graphic>
          </wp:inline>
        </w:drawing>
      </w:r>
    </w:p>
    <w:p w14:paraId="52EC8002" w14:textId="77777777" w:rsidR="00356E72" w:rsidRPr="00E4375B" w:rsidRDefault="00356E72" w:rsidP="00E4375B">
      <w:pPr>
        <w:pStyle w:val="NormalWeb"/>
        <w:spacing w:before="0" w:beforeAutospacing="0" w:after="160" w:afterAutospacing="0" w:line="360" w:lineRule="auto"/>
        <w:jc w:val="center"/>
        <w:rPr>
          <w:b/>
          <w:bCs/>
          <w:color w:val="000000"/>
          <w:sz w:val="22"/>
          <w:szCs w:val="22"/>
          <w:lang w:val="es-ES"/>
        </w:rPr>
      </w:pPr>
      <w:r w:rsidRPr="00E4375B">
        <w:rPr>
          <w:b/>
          <w:bCs/>
          <w:color w:val="000000"/>
          <w:sz w:val="22"/>
          <w:szCs w:val="22"/>
          <w:lang w:val="es-ES"/>
        </w:rPr>
        <w:t xml:space="preserve">“Calidad de la Información Contable de las Entidades Financieras </w:t>
      </w:r>
    </w:p>
    <w:p w14:paraId="55F7BC25" w14:textId="77777777" w:rsidR="00356E72" w:rsidRPr="00E4375B" w:rsidRDefault="00356E72" w:rsidP="00E4375B">
      <w:pPr>
        <w:pStyle w:val="NormalWeb"/>
        <w:spacing w:before="0" w:beforeAutospacing="0" w:after="160" w:afterAutospacing="0" w:line="360" w:lineRule="auto"/>
        <w:jc w:val="center"/>
        <w:rPr>
          <w:b/>
          <w:bCs/>
          <w:color w:val="000000"/>
          <w:sz w:val="22"/>
          <w:szCs w:val="22"/>
          <w:lang w:val="es-ES"/>
        </w:rPr>
      </w:pPr>
      <w:r w:rsidRPr="00E4375B">
        <w:rPr>
          <w:b/>
          <w:bCs/>
          <w:color w:val="000000"/>
          <w:sz w:val="22"/>
          <w:szCs w:val="22"/>
          <w:lang w:val="es-ES"/>
        </w:rPr>
        <w:t>de Argentina en la Etapa pre NIIF”</w:t>
      </w:r>
    </w:p>
    <w:p w14:paraId="1BF9B51B" w14:textId="77777777" w:rsidR="00356E72" w:rsidRPr="00E4375B" w:rsidRDefault="00356E72" w:rsidP="00E4375B">
      <w:pPr>
        <w:pStyle w:val="NormalWeb"/>
        <w:spacing w:before="0" w:beforeAutospacing="0" w:after="160" w:afterAutospacing="0" w:line="360" w:lineRule="auto"/>
        <w:jc w:val="both"/>
        <w:rPr>
          <w:sz w:val="22"/>
          <w:szCs w:val="22"/>
          <w:lang w:val="es-ES"/>
        </w:rPr>
      </w:pPr>
      <w:r w:rsidRPr="00E4375B">
        <w:rPr>
          <w:color w:val="000000"/>
          <w:sz w:val="22"/>
          <w:szCs w:val="22"/>
          <w:lang w:val="es-ES"/>
        </w:rPr>
        <w:t>2.Contabilidad</w:t>
      </w:r>
    </w:p>
    <w:p w14:paraId="55A5823B" w14:textId="77777777" w:rsidR="00356E72" w:rsidRPr="00E4375B" w:rsidRDefault="00356E72" w:rsidP="00E4375B">
      <w:pPr>
        <w:pStyle w:val="NormalWeb"/>
        <w:spacing w:before="0" w:beforeAutospacing="0" w:after="160" w:afterAutospacing="0" w:line="360" w:lineRule="auto"/>
        <w:jc w:val="both"/>
        <w:rPr>
          <w:b/>
          <w:sz w:val="22"/>
          <w:szCs w:val="22"/>
          <w:lang w:val="es-ES"/>
        </w:rPr>
      </w:pPr>
      <w:r w:rsidRPr="00E4375B">
        <w:rPr>
          <w:b/>
          <w:color w:val="000000"/>
          <w:sz w:val="22"/>
          <w:szCs w:val="22"/>
          <w:lang w:val="es-ES"/>
        </w:rPr>
        <w:t>Autores:</w:t>
      </w:r>
    </w:p>
    <w:p w14:paraId="4981FED4" w14:textId="77777777" w:rsidR="00356E72" w:rsidRPr="00E4375B" w:rsidRDefault="00356E72" w:rsidP="00E4375B">
      <w:pPr>
        <w:pStyle w:val="NormalWeb"/>
        <w:spacing w:before="0" w:beforeAutospacing="0" w:after="160" w:afterAutospacing="0" w:line="360" w:lineRule="auto"/>
        <w:jc w:val="both"/>
        <w:rPr>
          <w:sz w:val="22"/>
          <w:szCs w:val="22"/>
          <w:lang w:val="es-ES"/>
        </w:rPr>
      </w:pPr>
      <w:r w:rsidRPr="00E4375B">
        <w:rPr>
          <w:color w:val="000000"/>
          <w:sz w:val="22"/>
          <w:szCs w:val="22"/>
          <w:lang w:val="es-ES"/>
        </w:rPr>
        <w:t xml:space="preserve">Miazzo, Cristián E. Facultad de Ciencias Económicas. Universidad Nacional de Río Cuarto. Ruta 36 km 601. Río Cuarto. </w:t>
      </w:r>
      <w:hyperlink r:id="rId9" w:history="1">
        <w:r w:rsidRPr="00E4375B">
          <w:rPr>
            <w:rStyle w:val="Hipervnculo"/>
            <w:rFonts w:eastAsia="Arial"/>
            <w:color w:val="0563C1"/>
            <w:sz w:val="22"/>
            <w:szCs w:val="22"/>
            <w:lang w:val="es-ES"/>
          </w:rPr>
          <w:t>cmiazzo@fce.unrc.edu.ar</w:t>
        </w:r>
      </w:hyperlink>
    </w:p>
    <w:p w14:paraId="1B19EC5A" w14:textId="77777777" w:rsidR="00356E72" w:rsidRPr="00E4375B" w:rsidRDefault="00356E72" w:rsidP="00E4375B">
      <w:pPr>
        <w:pStyle w:val="NormalWeb"/>
        <w:spacing w:before="0" w:beforeAutospacing="0" w:after="160" w:afterAutospacing="0" w:line="360" w:lineRule="auto"/>
        <w:jc w:val="both"/>
        <w:rPr>
          <w:sz w:val="22"/>
          <w:szCs w:val="22"/>
          <w:lang w:val="es-ES"/>
        </w:rPr>
      </w:pPr>
      <w:r w:rsidRPr="00E4375B">
        <w:rPr>
          <w:color w:val="000000"/>
          <w:sz w:val="22"/>
          <w:szCs w:val="22"/>
          <w:lang w:val="es-ES"/>
        </w:rPr>
        <w:t xml:space="preserve">Bernardi, Andrea S. Facultad de Ciencias Económicas. Universidad Nacional de Río Cuarto. Ruta 36 km 601. Río Cuarto. </w:t>
      </w:r>
      <w:hyperlink r:id="rId10" w:history="1">
        <w:r w:rsidRPr="00E4375B">
          <w:rPr>
            <w:rStyle w:val="Hipervnculo"/>
            <w:rFonts w:eastAsia="Arial"/>
            <w:color w:val="0563C1"/>
            <w:sz w:val="22"/>
            <w:szCs w:val="22"/>
            <w:lang w:val="es-ES"/>
          </w:rPr>
          <w:t>abernardi@fce.unrc.edu.ar</w:t>
        </w:r>
      </w:hyperlink>
    </w:p>
    <w:p w14:paraId="4C8CEA4C" w14:textId="77777777" w:rsidR="00356E72" w:rsidRPr="00E4375B" w:rsidRDefault="00356E72" w:rsidP="00E4375B">
      <w:pPr>
        <w:pStyle w:val="NormalWeb"/>
        <w:spacing w:before="0" w:beforeAutospacing="0" w:after="160" w:afterAutospacing="0" w:line="360" w:lineRule="auto"/>
        <w:jc w:val="both"/>
        <w:rPr>
          <w:sz w:val="22"/>
          <w:szCs w:val="22"/>
          <w:lang w:val="es-ES"/>
        </w:rPr>
      </w:pPr>
      <w:r w:rsidRPr="00E4375B">
        <w:rPr>
          <w:color w:val="000000"/>
          <w:sz w:val="22"/>
          <w:szCs w:val="22"/>
          <w:lang w:val="es-ES"/>
        </w:rPr>
        <w:t xml:space="preserve">Clerici, Yamila. Facultad de Ciencias Económicas. Universidad Nacional de Río Cuarto. Ruta 36 km 601. Río Cuarto. </w:t>
      </w:r>
      <w:hyperlink r:id="rId11" w:history="1">
        <w:r w:rsidRPr="00E4375B">
          <w:rPr>
            <w:rStyle w:val="Hipervnculo"/>
            <w:rFonts w:eastAsia="Arial"/>
            <w:color w:val="0563C1"/>
            <w:sz w:val="22"/>
            <w:szCs w:val="22"/>
            <w:lang w:val="es-ES"/>
          </w:rPr>
          <w:t>yclerici@fce.unrc.edu.ar</w:t>
        </w:r>
      </w:hyperlink>
    </w:p>
    <w:p w14:paraId="550548E3" w14:textId="77777777" w:rsidR="00356E72" w:rsidRPr="00E4375B" w:rsidRDefault="00356E72" w:rsidP="00E4375B">
      <w:pPr>
        <w:pStyle w:val="NormalWeb"/>
        <w:spacing w:before="0" w:beforeAutospacing="0" w:after="160" w:afterAutospacing="0" w:line="360" w:lineRule="auto"/>
        <w:jc w:val="both"/>
        <w:rPr>
          <w:b/>
          <w:sz w:val="22"/>
          <w:szCs w:val="22"/>
          <w:lang w:val="es-ES"/>
        </w:rPr>
      </w:pPr>
      <w:r w:rsidRPr="00E4375B">
        <w:rPr>
          <w:b/>
          <w:color w:val="000000"/>
          <w:sz w:val="22"/>
          <w:szCs w:val="22"/>
          <w:lang w:val="es-ES"/>
        </w:rPr>
        <w:t>Palabras Clave</w:t>
      </w:r>
    </w:p>
    <w:p w14:paraId="46CA2027" w14:textId="77777777" w:rsidR="00356E72" w:rsidRPr="00E4375B" w:rsidRDefault="00356E72" w:rsidP="00E4375B">
      <w:pPr>
        <w:pStyle w:val="NormalWeb"/>
        <w:spacing w:before="0" w:beforeAutospacing="0" w:after="160" w:afterAutospacing="0" w:line="360" w:lineRule="auto"/>
        <w:jc w:val="both"/>
        <w:rPr>
          <w:sz w:val="22"/>
          <w:szCs w:val="22"/>
          <w:lang w:val="es-ES"/>
        </w:rPr>
      </w:pPr>
      <w:r w:rsidRPr="00E4375B">
        <w:rPr>
          <w:color w:val="000000"/>
          <w:sz w:val="22"/>
          <w:szCs w:val="22"/>
          <w:lang w:val="es-ES"/>
        </w:rPr>
        <w:t>Calidad de la información – entidades financieras – normas contables locales</w:t>
      </w:r>
    </w:p>
    <w:p w14:paraId="53406364" w14:textId="77777777" w:rsidR="00356E72" w:rsidRPr="00E4375B" w:rsidRDefault="00356E72" w:rsidP="00E4375B">
      <w:pPr>
        <w:pStyle w:val="NormalWeb"/>
        <w:spacing w:before="0" w:beforeAutospacing="0" w:after="160" w:afterAutospacing="0" w:line="360" w:lineRule="auto"/>
        <w:jc w:val="both"/>
        <w:rPr>
          <w:b/>
          <w:sz w:val="22"/>
          <w:szCs w:val="22"/>
          <w:lang w:val="es-ES"/>
        </w:rPr>
      </w:pPr>
      <w:r w:rsidRPr="00E4375B">
        <w:rPr>
          <w:b/>
          <w:color w:val="000000"/>
          <w:sz w:val="22"/>
          <w:szCs w:val="22"/>
          <w:lang w:val="es-ES"/>
        </w:rPr>
        <w:t>Resumen</w:t>
      </w:r>
    </w:p>
    <w:p w14:paraId="6831CA65" w14:textId="77777777" w:rsidR="00356E72" w:rsidRPr="00E4375B" w:rsidRDefault="00356E72" w:rsidP="00E4375B">
      <w:pPr>
        <w:spacing w:line="360" w:lineRule="auto"/>
        <w:jc w:val="both"/>
        <w:rPr>
          <w:rFonts w:ascii="Times New Roman" w:hAnsi="Times New Roman" w:cs="Times New Roman"/>
          <w:color w:val="000000"/>
          <w:lang w:val="es-419"/>
        </w:rPr>
      </w:pPr>
      <w:r w:rsidRPr="00E4375B">
        <w:rPr>
          <w:rFonts w:ascii="Times New Roman" w:hAnsi="Times New Roman" w:cs="Times New Roman"/>
          <w:color w:val="000000"/>
          <w:lang w:val="es-419"/>
        </w:rPr>
        <w:t>La adopción del criterio de utilidad de la información financiera como objetivo esencial a alcanzar con la normalización contable que vienen llevando adelante los organismos emisores en el marco del paradigma utilitarista, ha impulsado el mejoramiento de la calidad de las cifras contables como medio para asegurar su utilidad en el proceso decisorio de los inversores como principales usuarios.</w:t>
      </w:r>
    </w:p>
    <w:p w14:paraId="592E6114" w14:textId="1AC6BC72" w:rsidR="00356E72" w:rsidRPr="00E4375B" w:rsidRDefault="00356E72" w:rsidP="00E4375B">
      <w:pPr>
        <w:pStyle w:val="NormalWeb"/>
        <w:spacing w:before="0" w:beforeAutospacing="0" w:after="160" w:afterAutospacing="0" w:line="360" w:lineRule="auto"/>
        <w:jc w:val="both"/>
        <w:rPr>
          <w:color w:val="000000"/>
          <w:sz w:val="22"/>
          <w:szCs w:val="22"/>
          <w:lang w:val="es-419"/>
        </w:rPr>
      </w:pPr>
      <w:r w:rsidRPr="00E4375B">
        <w:rPr>
          <w:color w:val="000000"/>
          <w:sz w:val="22"/>
          <w:szCs w:val="22"/>
          <w:lang w:val="es-419"/>
        </w:rPr>
        <w:t xml:space="preserve">Ahora bien, dado que la calidad de las cifras contables es un constructo no observable directamente, </w:t>
      </w:r>
      <w:r w:rsidRPr="00E4375B">
        <w:rPr>
          <w:sz w:val="22"/>
          <w:szCs w:val="22"/>
          <w:lang w:val="es-419"/>
        </w:rPr>
        <w:t xml:space="preserve">Imhoff &amp; Thomas </w:t>
      </w:r>
      <w:sdt>
        <w:sdtPr>
          <w:rPr>
            <w:sz w:val="22"/>
            <w:szCs w:val="22"/>
            <w:lang w:val="es-419"/>
          </w:rPr>
          <w:id w:val="-847707886"/>
          <w:citation/>
        </w:sdtPr>
        <w:sdtContent>
          <w:r w:rsidR="001317F0" w:rsidRPr="00E4375B">
            <w:rPr>
              <w:sz w:val="22"/>
              <w:szCs w:val="22"/>
              <w:lang w:val="es-419"/>
            </w:rPr>
            <w:fldChar w:fldCharType="begin"/>
          </w:r>
          <w:r w:rsidR="00503243" w:rsidRPr="00E4375B">
            <w:rPr>
              <w:sz w:val="22"/>
              <w:szCs w:val="22"/>
              <w:lang w:val="es-AR"/>
            </w:rPr>
            <w:instrText xml:space="preserve">CITATION Imh89 \n  \t  \l 11274 </w:instrText>
          </w:r>
          <w:r w:rsidR="001317F0" w:rsidRPr="00E4375B">
            <w:rPr>
              <w:sz w:val="22"/>
              <w:szCs w:val="22"/>
              <w:lang w:val="es-419"/>
            </w:rPr>
            <w:fldChar w:fldCharType="separate"/>
          </w:r>
          <w:r w:rsidR="00503243" w:rsidRPr="00E4375B">
            <w:rPr>
              <w:noProof/>
              <w:sz w:val="22"/>
              <w:szCs w:val="22"/>
              <w:lang w:val="es-AR"/>
            </w:rPr>
            <w:t>(1989)</w:t>
          </w:r>
          <w:r w:rsidR="001317F0" w:rsidRPr="00E4375B">
            <w:rPr>
              <w:sz w:val="22"/>
              <w:szCs w:val="22"/>
              <w:lang w:val="es-419"/>
            </w:rPr>
            <w:fldChar w:fldCharType="end"/>
          </w:r>
        </w:sdtContent>
      </w:sdt>
      <w:r w:rsidRPr="00E4375B">
        <w:rPr>
          <w:sz w:val="22"/>
          <w:szCs w:val="22"/>
          <w:lang w:val="es-419"/>
        </w:rPr>
        <w:t xml:space="preserve"> plantearon que la calidad de valoración es la métrica más adecuada desde la perspectiva del inversor.</w:t>
      </w:r>
    </w:p>
    <w:p w14:paraId="634F14AE" w14:textId="780A9511" w:rsidR="00356E72" w:rsidRPr="00E4375B" w:rsidRDefault="00356E72" w:rsidP="00E4375B">
      <w:pPr>
        <w:pStyle w:val="NormalWeb"/>
        <w:spacing w:before="0" w:beforeAutospacing="0" w:after="160" w:afterAutospacing="0" w:line="360" w:lineRule="auto"/>
        <w:jc w:val="both"/>
        <w:rPr>
          <w:color w:val="000000"/>
          <w:sz w:val="22"/>
          <w:szCs w:val="22"/>
          <w:lang w:val="es-ES"/>
        </w:rPr>
      </w:pPr>
      <w:r w:rsidRPr="00E4375B">
        <w:rPr>
          <w:color w:val="000000"/>
          <w:sz w:val="22"/>
          <w:szCs w:val="22"/>
          <w:lang w:val="es-ES"/>
        </w:rPr>
        <w:lastRenderedPageBreak/>
        <w:t>En este sentido, Barth</w:t>
      </w:r>
      <w:r w:rsidR="00566AA5" w:rsidRPr="00E4375B">
        <w:rPr>
          <w:color w:val="000000"/>
          <w:sz w:val="22"/>
          <w:szCs w:val="22"/>
          <w:lang w:val="es-ES"/>
        </w:rPr>
        <w:t xml:space="preserve"> et al.</w:t>
      </w:r>
      <w:r w:rsidRPr="00E4375B">
        <w:rPr>
          <w:color w:val="000000"/>
          <w:sz w:val="22"/>
          <w:szCs w:val="22"/>
          <w:lang w:val="es-ES"/>
        </w:rPr>
        <w:t xml:space="preserve"> (2008) consideran que las cifras contables son de mayor calidad si poseen mayor relevancia valorativa basada en el poder explicativo de las ganancias netas y el valor patrimonial por acción en relación a los valores de cotización de las acciones. Evidencia de mayor poder explicativo significa mayor relevancia valorativa y mayor calidad de la información financiera.</w:t>
      </w:r>
    </w:p>
    <w:p w14:paraId="6BD93DEF" w14:textId="7C54678F" w:rsidR="00356E72" w:rsidRPr="00E4375B" w:rsidRDefault="00356E72" w:rsidP="00E4375B">
      <w:pPr>
        <w:pStyle w:val="NormalWeb"/>
        <w:spacing w:before="0" w:beforeAutospacing="0" w:after="160" w:afterAutospacing="0" w:line="360" w:lineRule="auto"/>
        <w:jc w:val="both"/>
        <w:rPr>
          <w:color w:val="000000"/>
          <w:sz w:val="22"/>
          <w:szCs w:val="22"/>
          <w:lang w:val="es-419"/>
        </w:rPr>
      </w:pPr>
      <w:r w:rsidRPr="00E4375B">
        <w:rPr>
          <w:color w:val="000000"/>
          <w:sz w:val="22"/>
          <w:szCs w:val="22"/>
          <w:lang w:val="es-419"/>
        </w:rPr>
        <w:t xml:space="preserve">En estos últimos años, la calidad de las cifras financieras de la industria bancaria viene suscitando un gran interés por parte de los investigadores contables dado los significativos impactos que este sector genera en la economía como en Agostino et al. </w:t>
      </w:r>
      <w:sdt>
        <w:sdtPr>
          <w:rPr>
            <w:color w:val="000000"/>
            <w:sz w:val="22"/>
            <w:szCs w:val="22"/>
            <w:lang w:val="es-419"/>
          </w:rPr>
          <w:id w:val="-42137977"/>
          <w:citation/>
        </w:sdtPr>
        <w:sdtContent>
          <w:r w:rsidRPr="00E4375B">
            <w:rPr>
              <w:color w:val="000000"/>
              <w:sz w:val="22"/>
              <w:szCs w:val="22"/>
              <w:lang w:val="es-419"/>
            </w:rPr>
            <w:fldChar w:fldCharType="begin"/>
          </w:r>
          <w:r w:rsidRPr="00E4375B">
            <w:rPr>
              <w:color w:val="000000"/>
              <w:sz w:val="22"/>
              <w:szCs w:val="22"/>
              <w:lang w:val="es-419"/>
            </w:rPr>
            <w:instrText xml:space="preserve">CITATION Ago11 \n  \t  \l 11274 </w:instrText>
          </w:r>
          <w:r w:rsidRPr="00E4375B">
            <w:rPr>
              <w:color w:val="000000"/>
              <w:sz w:val="22"/>
              <w:szCs w:val="22"/>
              <w:lang w:val="es-419"/>
            </w:rPr>
            <w:fldChar w:fldCharType="separate"/>
          </w:r>
          <w:r w:rsidR="00505AD5" w:rsidRPr="00E4375B">
            <w:rPr>
              <w:noProof/>
              <w:color w:val="000000"/>
              <w:sz w:val="22"/>
              <w:szCs w:val="22"/>
              <w:lang w:val="es-419"/>
            </w:rPr>
            <w:t>(2011)</w:t>
          </w:r>
          <w:r w:rsidRPr="00E4375B">
            <w:rPr>
              <w:color w:val="000000"/>
              <w:sz w:val="22"/>
              <w:szCs w:val="22"/>
              <w:lang w:val="es-419"/>
            </w:rPr>
            <w:fldChar w:fldCharType="end"/>
          </w:r>
        </w:sdtContent>
      </w:sdt>
      <w:r w:rsidRPr="00E4375B">
        <w:rPr>
          <w:color w:val="000000"/>
          <w:sz w:val="22"/>
          <w:szCs w:val="22"/>
          <w:lang w:val="es-419"/>
        </w:rPr>
        <w:t xml:space="preserve">, Bathia &amp; Mulenga </w:t>
      </w:r>
      <w:sdt>
        <w:sdtPr>
          <w:rPr>
            <w:color w:val="000000"/>
            <w:sz w:val="22"/>
            <w:szCs w:val="22"/>
            <w:lang w:val="es-419"/>
          </w:rPr>
          <w:id w:val="-1557398358"/>
          <w:citation/>
        </w:sdtPr>
        <w:sdtContent>
          <w:r w:rsidRPr="00E4375B">
            <w:rPr>
              <w:color w:val="000000"/>
              <w:sz w:val="22"/>
              <w:szCs w:val="22"/>
              <w:lang w:val="es-419"/>
            </w:rPr>
            <w:fldChar w:fldCharType="begin"/>
          </w:r>
          <w:r w:rsidRPr="00E4375B">
            <w:rPr>
              <w:color w:val="000000"/>
              <w:sz w:val="22"/>
              <w:szCs w:val="22"/>
              <w:lang w:val="es-419"/>
            </w:rPr>
            <w:instrText xml:space="preserve">CITATION Bha191 \n  \t  \l 11274 </w:instrText>
          </w:r>
          <w:r w:rsidRPr="00E4375B">
            <w:rPr>
              <w:color w:val="000000"/>
              <w:sz w:val="22"/>
              <w:szCs w:val="22"/>
              <w:lang w:val="es-419"/>
            </w:rPr>
            <w:fldChar w:fldCharType="separate"/>
          </w:r>
          <w:r w:rsidR="00505AD5" w:rsidRPr="00E4375B">
            <w:rPr>
              <w:noProof/>
              <w:color w:val="000000"/>
              <w:sz w:val="22"/>
              <w:szCs w:val="22"/>
              <w:lang w:val="es-419"/>
            </w:rPr>
            <w:t>(2019)</w:t>
          </w:r>
          <w:r w:rsidRPr="00E4375B">
            <w:rPr>
              <w:color w:val="000000"/>
              <w:sz w:val="22"/>
              <w:szCs w:val="22"/>
              <w:lang w:val="es-419"/>
            </w:rPr>
            <w:fldChar w:fldCharType="end"/>
          </w:r>
        </w:sdtContent>
      </w:sdt>
      <w:r w:rsidRPr="00E4375B">
        <w:rPr>
          <w:color w:val="000000"/>
          <w:sz w:val="22"/>
          <w:szCs w:val="22"/>
          <w:lang w:val="es-419"/>
        </w:rPr>
        <w:t xml:space="preserve">, Bolibok </w:t>
      </w:r>
      <w:sdt>
        <w:sdtPr>
          <w:rPr>
            <w:color w:val="000000"/>
            <w:sz w:val="22"/>
            <w:szCs w:val="22"/>
            <w:lang w:val="es-419"/>
          </w:rPr>
          <w:id w:val="1714386284"/>
          <w:citation/>
        </w:sdtPr>
        <w:sdtContent>
          <w:r w:rsidRPr="00E4375B">
            <w:rPr>
              <w:color w:val="000000"/>
              <w:sz w:val="22"/>
              <w:szCs w:val="22"/>
              <w:lang w:val="es-419"/>
            </w:rPr>
            <w:fldChar w:fldCharType="begin"/>
          </w:r>
          <w:r w:rsidRPr="00E4375B">
            <w:rPr>
              <w:color w:val="000000"/>
              <w:sz w:val="22"/>
              <w:szCs w:val="22"/>
              <w:lang w:val="es-419"/>
            </w:rPr>
            <w:instrText xml:space="preserve">CITATION Bol14 \n  \t  \l 11274 </w:instrText>
          </w:r>
          <w:r w:rsidRPr="00E4375B">
            <w:rPr>
              <w:color w:val="000000"/>
              <w:sz w:val="22"/>
              <w:szCs w:val="22"/>
              <w:lang w:val="es-419"/>
            </w:rPr>
            <w:fldChar w:fldCharType="separate"/>
          </w:r>
          <w:r w:rsidR="00505AD5" w:rsidRPr="00E4375B">
            <w:rPr>
              <w:noProof/>
              <w:color w:val="000000"/>
              <w:sz w:val="22"/>
              <w:szCs w:val="22"/>
              <w:lang w:val="es-419"/>
            </w:rPr>
            <w:t>(2014)</w:t>
          </w:r>
          <w:r w:rsidRPr="00E4375B">
            <w:rPr>
              <w:color w:val="000000"/>
              <w:sz w:val="22"/>
              <w:szCs w:val="22"/>
              <w:lang w:val="es-419"/>
            </w:rPr>
            <w:fldChar w:fldCharType="end"/>
          </w:r>
        </w:sdtContent>
      </w:sdt>
      <w:r w:rsidRPr="00E4375B">
        <w:rPr>
          <w:color w:val="000000"/>
          <w:sz w:val="22"/>
          <w:szCs w:val="22"/>
          <w:lang w:val="es-419"/>
        </w:rPr>
        <w:t xml:space="preserve">, Shehzad &amp; Ismail  </w:t>
      </w:r>
      <w:sdt>
        <w:sdtPr>
          <w:rPr>
            <w:color w:val="000000"/>
            <w:sz w:val="22"/>
            <w:szCs w:val="22"/>
            <w:lang w:val="es-419"/>
          </w:rPr>
          <w:id w:val="-1742008521"/>
          <w:citation/>
        </w:sdtPr>
        <w:sdtContent>
          <w:r w:rsidRPr="00E4375B">
            <w:rPr>
              <w:color w:val="000000"/>
              <w:sz w:val="22"/>
              <w:szCs w:val="22"/>
              <w:lang w:val="es-419"/>
            </w:rPr>
            <w:fldChar w:fldCharType="begin"/>
          </w:r>
          <w:r w:rsidRPr="00E4375B">
            <w:rPr>
              <w:color w:val="000000"/>
              <w:sz w:val="22"/>
              <w:szCs w:val="22"/>
              <w:lang w:val="es-419"/>
            </w:rPr>
            <w:instrText xml:space="preserve">CITATION She14 \n  \t  \l 11274 </w:instrText>
          </w:r>
          <w:r w:rsidRPr="00E4375B">
            <w:rPr>
              <w:color w:val="000000"/>
              <w:sz w:val="22"/>
              <w:szCs w:val="22"/>
              <w:lang w:val="es-419"/>
            </w:rPr>
            <w:fldChar w:fldCharType="separate"/>
          </w:r>
          <w:r w:rsidR="00505AD5" w:rsidRPr="00E4375B">
            <w:rPr>
              <w:noProof/>
              <w:color w:val="000000"/>
              <w:sz w:val="22"/>
              <w:szCs w:val="22"/>
              <w:lang w:val="es-419"/>
            </w:rPr>
            <w:t>(2014)</w:t>
          </w:r>
          <w:r w:rsidRPr="00E4375B">
            <w:rPr>
              <w:color w:val="000000"/>
              <w:sz w:val="22"/>
              <w:szCs w:val="22"/>
              <w:lang w:val="es-419"/>
            </w:rPr>
            <w:fldChar w:fldCharType="end"/>
          </w:r>
        </w:sdtContent>
      </w:sdt>
      <w:r w:rsidRPr="00E4375B">
        <w:rPr>
          <w:color w:val="000000"/>
          <w:sz w:val="22"/>
          <w:szCs w:val="22"/>
          <w:lang w:val="es-419"/>
        </w:rPr>
        <w:t xml:space="preserve">, Trabelsi, N. &amp; Trabelsi, M. </w:t>
      </w:r>
      <w:sdt>
        <w:sdtPr>
          <w:rPr>
            <w:color w:val="000000"/>
            <w:sz w:val="22"/>
            <w:szCs w:val="22"/>
            <w:lang w:val="es-419"/>
          </w:rPr>
          <w:id w:val="274604197"/>
          <w:citation/>
        </w:sdtPr>
        <w:sdtContent>
          <w:r w:rsidRPr="00E4375B">
            <w:rPr>
              <w:color w:val="000000"/>
              <w:sz w:val="22"/>
              <w:szCs w:val="22"/>
              <w:lang w:val="es-419"/>
            </w:rPr>
            <w:fldChar w:fldCharType="begin"/>
          </w:r>
          <w:r w:rsidRPr="00E4375B">
            <w:rPr>
              <w:color w:val="000000"/>
              <w:sz w:val="22"/>
              <w:szCs w:val="22"/>
              <w:lang w:val="es-419"/>
            </w:rPr>
            <w:instrText xml:space="preserve">CITATION Tra14 \n  \t  \l 11274 </w:instrText>
          </w:r>
          <w:r w:rsidRPr="00E4375B">
            <w:rPr>
              <w:color w:val="000000"/>
              <w:sz w:val="22"/>
              <w:szCs w:val="22"/>
              <w:lang w:val="es-419"/>
            </w:rPr>
            <w:fldChar w:fldCharType="separate"/>
          </w:r>
          <w:r w:rsidR="00505AD5" w:rsidRPr="00E4375B">
            <w:rPr>
              <w:noProof/>
              <w:color w:val="000000"/>
              <w:sz w:val="22"/>
              <w:szCs w:val="22"/>
              <w:lang w:val="es-419"/>
            </w:rPr>
            <w:t>(2014)</w:t>
          </w:r>
          <w:r w:rsidRPr="00E4375B">
            <w:rPr>
              <w:color w:val="000000"/>
              <w:sz w:val="22"/>
              <w:szCs w:val="22"/>
              <w:lang w:val="es-419"/>
            </w:rPr>
            <w:fldChar w:fldCharType="end"/>
          </w:r>
        </w:sdtContent>
      </w:sdt>
      <w:r w:rsidRPr="00E4375B">
        <w:rPr>
          <w:color w:val="000000"/>
          <w:sz w:val="22"/>
          <w:szCs w:val="22"/>
          <w:lang w:val="es-419"/>
        </w:rPr>
        <w:t xml:space="preserve">, entre otros estudios. </w:t>
      </w:r>
    </w:p>
    <w:p w14:paraId="63D2157A" w14:textId="6AE276F1" w:rsidR="002E63A7" w:rsidRPr="00E4375B" w:rsidRDefault="00356E72" w:rsidP="00E4375B">
      <w:pPr>
        <w:pStyle w:val="NormalWeb"/>
        <w:spacing w:before="0" w:beforeAutospacing="0" w:after="160" w:afterAutospacing="0" w:line="360" w:lineRule="auto"/>
        <w:jc w:val="both"/>
        <w:rPr>
          <w:color w:val="000000"/>
          <w:sz w:val="22"/>
          <w:szCs w:val="22"/>
          <w:lang w:val="es-419"/>
        </w:rPr>
      </w:pPr>
      <w:r w:rsidRPr="00E4375B">
        <w:rPr>
          <w:color w:val="000000"/>
          <w:sz w:val="22"/>
          <w:szCs w:val="22"/>
          <w:lang w:val="es-419"/>
        </w:rPr>
        <w:t xml:space="preserve">El presente trabajo tiene como objetivo analizar la calidad de la información contable de las entidades financieras en Argentina en el período previo a la adopción de las Normas Internacionales de Información Financiera -NIIF-. A estos fines se realizará un estudio longitudinal empleando una adaptación del modelo de Ohlson </w:t>
      </w:r>
      <w:sdt>
        <w:sdtPr>
          <w:rPr>
            <w:color w:val="000000"/>
            <w:sz w:val="22"/>
            <w:szCs w:val="22"/>
            <w:lang w:val="es-419"/>
          </w:rPr>
          <w:id w:val="1420837212"/>
          <w:citation/>
        </w:sdtPr>
        <w:sdtContent>
          <w:r w:rsidRPr="00E4375B">
            <w:rPr>
              <w:color w:val="000000"/>
              <w:sz w:val="22"/>
              <w:szCs w:val="22"/>
              <w:lang w:val="es-419"/>
            </w:rPr>
            <w:fldChar w:fldCharType="begin"/>
          </w:r>
          <w:r w:rsidRPr="00E4375B">
            <w:rPr>
              <w:color w:val="000000"/>
              <w:sz w:val="22"/>
              <w:szCs w:val="22"/>
              <w:lang w:val="es-419"/>
            </w:rPr>
            <w:instrText xml:space="preserve">CITATION Ohl951 \n  \t  \l 11274 </w:instrText>
          </w:r>
          <w:r w:rsidRPr="00E4375B">
            <w:rPr>
              <w:color w:val="000000"/>
              <w:sz w:val="22"/>
              <w:szCs w:val="22"/>
              <w:lang w:val="es-419"/>
            </w:rPr>
            <w:fldChar w:fldCharType="separate"/>
          </w:r>
          <w:r w:rsidR="00505AD5" w:rsidRPr="00E4375B">
            <w:rPr>
              <w:noProof/>
              <w:color w:val="000000"/>
              <w:sz w:val="22"/>
              <w:szCs w:val="22"/>
              <w:lang w:val="es-419"/>
            </w:rPr>
            <w:t>(1995)</w:t>
          </w:r>
          <w:r w:rsidRPr="00E4375B">
            <w:rPr>
              <w:color w:val="000000"/>
              <w:sz w:val="22"/>
              <w:szCs w:val="22"/>
              <w:lang w:val="es-419"/>
            </w:rPr>
            <w:fldChar w:fldCharType="end"/>
          </w:r>
        </w:sdtContent>
      </w:sdt>
      <w:r w:rsidRPr="00E4375B">
        <w:rPr>
          <w:color w:val="000000"/>
          <w:sz w:val="22"/>
          <w:szCs w:val="22"/>
          <w:lang w:val="es-419"/>
        </w:rPr>
        <w:t>. La muestra se conformará con las empresas financieras que cotizaron en el Mercado de Valores de Buenos Aires en el período 2004-2019.</w:t>
      </w:r>
    </w:p>
    <w:p w14:paraId="2661D537" w14:textId="44B7045F" w:rsidR="006D6152" w:rsidRPr="00E4375B" w:rsidRDefault="006D6152" w:rsidP="00E4375B">
      <w:pPr>
        <w:spacing w:line="360" w:lineRule="auto"/>
        <w:jc w:val="both"/>
        <w:rPr>
          <w:rFonts w:ascii="Times New Roman" w:hAnsi="Times New Roman" w:cs="Times New Roman"/>
          <w:u w:val="single"/>
        </w:rPr>
      </w:pPr>
      <w:r w:rsidRPr="00E4375B">
        <w:rPr>
          <w:rFonts w:ascii="Times New Roman" w:hAnsi="Times New Roman" w:cs="Times New Roman"/>
          <w:u w:val="single"/>
        </w:rPr>
        <w:t>Introducción</w:t>
      </w:r>
    </w:p>
    <w:p w14:paraId="6EAA92DB" w14:textId="7ADF6528" w:rsidR="00987D47" w:rsidRPr="00E4375B" w:rsidRDefault="00987D47" w:rsidP="00E4375B">
      <w:pPr>
        <w:spacing w:line="360" w:lineRule="auto"/>
        <w:jc w:val="both"/>
        <w:rPr>
          <w:rFonts w:ascii="Times New Roman" w:hAnsi="Times New Roman" w:cs="Times New Roman"/>
        </w:rPr>
      </w:pPr>
      <w:r w:rsidRPr="00E4375B">
        <w:rPr>
          <w:rFonts w:ascii="Times New Roman" w:hAnsi="Times New Roman" w:cs="Times New Roman"/>
          <w:color w:val="000000"/>
          <w:lang w:val="es-419"/>
        </w:rPr>
        <w:t xml:space="preserve">El proceso de globalización de la economía que se generó en el siglo pasado impulsó </w:t>
      </w:r>
      <w:r w:rsidRPr="00E4375B">
        <w:rPr>
          <w:rFonts w:ascii="Times New Roman" w:hAnsi="Times New Roman" w:cs="Times New Roman"/>
        </w:rPr>
        <w:t xml:space="preserve">la evolución de la contabilidad con la mirada puesta en los mercados de capitales y en la satisfacción de las necesidades informativas de los agentes que operan en ellos. </w:t>
      </w:r>
    </w:p>
    <w:p w14:paraId="5AFE55E9" w14:textId="59D6E920" w:rsidR="009438EE" w:rsidRPr="00E4375B" w:rsidRDefault="00987D47" w:rsidP="00E4375B">
      <w:pPr>
        <w:spacing w:line="360" w:lineRule="auto"/>
        <w:jc w:val="both"/>
        <w:rPr>
          <w:rFonts w:ascii="Times New Roman" w:hAnsi="Times New Roman" w:cs="Times New Roman"/>
          <w:color w:val="000000"/>
          <w:lang w:val="es-419"/>
        </w:rPr>
      </w:pPr>
      <w:r w:rsidRPr="00E4375B">
        <w:rPr>
          <w:rFonts w:ascii="Times New Roman" w:hAnsi="Times New Roman" w:cs="Times New Roman"/>
          <w:color w:val="000000"/>
          <w:lang w:val="es-419"/>
        </w:rPr>
        <w:t xml:space="preserve">En este sentido, </w:t>
      </w:r>
      <w:r w:rsidR="0068319A" w:rsidRPr="00E4375B">
        <w:rPr>
          <w:rFonts w:ascii="Times New Roman" w:hAnsi="Times New Roman" w:cs="Times New Roman"/>
          <w:color w:val="000000"/>
          <w:lang w:val="es-419"/>
        </w:rPr>
        <w:t>los organismos emisores</w:t>
      </w:r>
      <w:r w:rsidR="003C1911" w:rsidRPr="00E4375B">
        <w:rPr>
          <w:rFonts w:ascii="Times New Roman" w:hAnsi="Times New Roman" w:cs="Times New Roman"/>
          <w:color w:val="000000"/>
          <w:lang w:val="es-419"/>
        </w:rPr>
        <w:t xml:space="preserve"> de las normas contables, en el marco del paradigma utilitarista, </w:t>
      </w:r>
      <w:r w:rsidR="00C7481C" w:rsidRPr="00E4375B">
        <w:rPr>
          <w:rFonts w:ascii="Times New Roman" w:hAnsi="Times New Roman" w:cs="Times New Roman"/>
          <w:color w:val="000000"/>
          <w:lang w:val="es-419"/>
        </w:rPr>
        <w:t>ha</w:t>
      </w:r>
      <w:r w:rsidR="003C1911" w:rsidRPr="00E4375B">
        <w:rPr>
          <w:rFonts w:ascii="Times New Roman" w:hAnsi="Times New Roman" w:cs="Times New Roman"/>
          <w:color w:val="000000"/>
          <w:lang w:val="es-419"/>
        </w:rPr>
        <w:t>n promovido</w:t>
      </w:r>
      <w:r w:rsidR="00C7481C" w:rsidRPr="00E4375B">
        <w:rPr>
          <w:rFonts w:ascii="Times New Roman" w:hAnsi="Times New Roman" w:cs="Times New Roman"/>
          <w:color w:val="000000"/>
          <w:lang w:val="es-419"/>
        </w:rPr>
        <w:t xml:space="preserve"> el mejoramiento de la calidad de la</w:t>
      </w:r>
      <w:r w:rsidR="003C1911" w:rsidRPr="00E4375B">
        <w:rPr>
          <w:rFonts w:ascii="Times New Roman" w:hAnsi="Times New Roman" w:cs="Times New Roman"/>
          <w:color w:val="000000"/>
          <w:lang w:val="es-419"/>
        </w:rPr>
        <w:t xml:space="preserve"> información financiera</w:t>
      </w:r>
      <w:r w:rsidR="00C7481C" w:rsidRPr="00E4375B">
        <w:rPr>
          <w:rFonts w:ascii="Times New Roman" w:hAnsi="Times New Roman" w:cs="Times New Roman"/>
          <w:color w:val="000000"/>
          <w:lang w:val="es-419"/>
        </w:rPr>
        <w:t xml:space="preserve"> como medio para asegurar su utilidad en el proceso decisorio de los inversores como principales usuarios.</w:t>
      </w:r>
    </w:p>
    <w:p w14:paraId="50EB79A6" w14:textId="7A6D7AEC" w:rsidR="00E13CCD" w:rsidRPr="00E4375B" w:rsidRDefault="0050765E" w:rsidP="00E4375B">
      <w:pPr>
        <w:spacing w:line="360" w:lineRule="auto"/>
        <w:jc w:val="both"/>
        <w:rPr>
          <w:rFonts w:ascii="Times New Roman" w:hAnsi="Times New Roman" w:cs="Times New Roman"/>
        </w:rPr>
      </w:pPr>
      <w:r w:rsidRPr="00E4375B">
        <w:rPr>
          <w:rFonts w:ascii="Times New Roman" w:hAnsi="Times New Roman" w:cs="Times New Roman"/>
        </w:rPr>
        <w:t xml:space="preserve">En este </w:t>
      </w:r>
      <w:r w:rsidR="00D30532" w:rsidRPr="00E4375B">
        <w:rPr>
          <w:rFonts w:ascii="Times New Roman" w:hAnsi="Times New Roman" w:cs="Times New Roman"/>
        </w:rPr>
        <w:t>contexto</w:t>
      </w:r>
      <w:r w:rsidRPr="00E4375B">
        <w:rPr>
          <w:rFonts w:ascii="Times New Roman" w:hAnsi="Times New Roman" w:cs="Times New Roman"/>
        </w:rPr>
        <w:t xml:space="preserve">, </w:t>
      </w:r>
      <w:r w:rsidR="00BB5F28" w:rsidRPr="00E4375B">
        <w:rPr>
          <w:rFonts w:ascii="Times New Roman" w:hAnsi="Times New Roman" w:cs="Times New Roman"/>
        </w:rPr>
        <w:t>comienza a gestarse un proceso de emisión de estándares internacionales que aseguren información financiera de mayor calidad</w:t>
      </w:r>
      <w:r w:rsidR="00F321EF" w:rsidRPr="00E4375B">
        <w:rPr>
          <w:rFonts w:ascii="Times New Roman" w:hAnsi="Times New Roman" w:cs="Times New Roman"/>
        </w:rPr>
        <w:t xml:space="preserve"> que los cuerpos normativos locales</w:t>
      </w:r>
      <w:r w:rsidR="00BB5F28" w:rsidRPr="00E4375B">
        <w:rPr>
          <w:rFonts w:ascii="Times New Roman" w:hAnsi="Times New Roman" w:cs="Times New Roman"/>
        </w:rPr>
        <w:t>.</w:t>
      </w:r>
      <w:r w:rsidR="00E13CCD" w:rsidRPr="00E4375B">
        <w:rPr>
          <w:rFonts w:ascii="Times New Roman" w:hAnsi="Times New Roman" w:cs="Times New Roman"/>
        </w:rPr>
        <w:t xml:space="preserve"> En 1973 se crea el International Accounting Standards Committe -IASC- o Comité de Normas Internacionales de Contabilidad con el objetivo de lograr la armonización de las normas contables a nivel mundial mediante la emisión de International Accounting Standards o Normas Internacionales de Contabilidad -NICs-.</w:t>
      </w:r>
      <w:r w:rsidR="00BB5F28" w:rsidRPr="00E4375B">
        <w:rPr>
          <w:rFonts w:ascii="Times New Roman" w:hAnsi="Times New Roman" w:cs="Times New Roman"/>
        </w:rPr>
        <w:t xml:space="preserve"> </w:t>
      </w:r>
    </w:p>
    <w:p w14:paraId="5E07AD2D" w14:textId="0FC0D9A4" w:rsidR="007D10A4" w:rsidRPr="00E4375B" w:rsidRDefault="00E13CCD" w:rsidP="00E4375B">
      <w:pPr>
        <w:spacing w:line="360" w:lineRule="auto"/>
        <w:jc w:val="both"/>
        <w:rPr>
          <w:rFonts w:ascii="Times New Roman" w:hAnsi="Times New Roman" w:cs="Times New Roman"/>
        </w:rPr>
      </w:pPr>
      <w:r w:rsidRPr="00E4375B">
        <w:rPr>
          <w:rFonts w:ascii="Times New Roman" w:hAnsi="Times New Roman" w:cs="Times New Roman"/>
        </w:rPr>
        <w:t>Años después, e</w:t>
      </w:r>
      <w:r w:rsidR="00393A93" w:rsidRPr="00E4375B">
        <w:rPr>
          <w:rFonts w:ascii="Times New Roman" w:hAnsi="Times New Roman" w:cs="Times New Roman"/>
        </w:rPr>
        <w:t>n 1995</w:t>
      </w:r>
      <w:r w:rsidRPr="00E4375B">
        <w:rPr>
          <w:rFonts w:ascii="Times New Roman" w:hAnsi="Times New Roman" w:cs="Times New Roman"/>
        </w:rPr>
        <w:t>,</w:t>
      </w:r>
      <w:r w:rsidR="00393A93" w:rsidRPr="00E4375B">
        <w:rPr>
          <w:rFonts w:ascii="Times New Roman" w:hAnsi="Times New Roman" w:cs="Times New Roman"/>
        </w:rPr>
        <w:t xml:space="preserve"> el IOSCO - International Organization of Securities Commissions- y IASC </w:t>
      </w:r>
      <w:r w:rsidR="0050765E" w:rsidRPr="00E4375B">
        <w:rPr>
          <w:rFonts w:ascii="Times New Roman" w:hAnsi="Times New Roman" w:cs="Times New Roman"/>
        </w:rPr>
        <w:t xml:space="preserve">-International Accounting Standards Committe- </w:t>
      </w:r>
      <w:r w:rsidR="00393A93" w:rsidRPr="00E4375B">
        <w:rPr>
          <w:rFonts w:ascii="Times New Roman" w:hAnsi="Times New Roman" w:cs="Times New Roman"/>
        </w:rPr>
        <w:t>celebran un acuerdo de gran significación en la armonización contable</w:t>
      </w:r>
      <w:r w:rsidR="00337ED0" w:rsidRPr="00E4375B">
        <w:rPr>
          <w:rFonts w:ascii="Times New Roman" w:hAnsi="Times New Roman" w:cs="Times New Roman"/>
        </w:rPr>
        <w:t xml:space="preserve"> </w:t>
      </w:r>
      <w:r w:rsidR="00393A93" w:rsidRPr="00E4375B">
        <w:rPr>
          <w:rFonts w:ascii="Times New Roman" w:hAnsi="Times New Roman" w:cs="Times New Roman"/>
        </w:rPr>
        <w:t xml:space="preserve">internacional por el cual IASC se compromete a elaborar normas contables en atención a recomendaciones del IOSCO, con el objetivo de la globalización de las </w:t>
      </w:r>
      <w:r w:rsidR="00393A93" w:rsidRPr="00E4375B">
        <w:rPr>
          <w:rFonts w:ascii="Times New Roman" w:hAnsi="Times New Roman" w:cs="Times New Roman"/>
        </w:rPr>
        <w:lastRenderedPageBreak/>
        <w:t>prácticas contable</w:t>
      </w:r>
      <w:r w:rsidR="006D3DD3" w:rsidRPr="00E4375B">
        <w:rPr>
          <w:rFonts w:ascii="Times New Roman" w:hAnsi="Times New Roman" w:cs="Times New Roman"/>
        </w:rPr>
        <w:t>s</w:t>
      </w:r>
      <w:r w:rsidR="00B22679" w:rsidRPr="00E4375B">
        <w:rPr>
          <w:rFonts w:ascii="Times New Roman" w:hAnsi="Times New Roman" w:cs="Times New Roman"/>
        </w:rPr>
        <w:t xml:space="preserve"> </w:t>
      </w:r>
      <w:r w:rsidR="00393A93" w:rsidRPr="00E4375B">
        <w:rPr>
          <w:rFonts w:ascii="Times New Roman" w:hAnsi="Times New Roman" w:cs="Times New Roman"/>
        </w:rPr>
        <w:t>además de</w:t>
      </w:r>
      <w:r w:rsidR="003C1911" w:rsidRPr="00E4375B">
        <w:rPr>
          <w:rFonts w:ascii="Times New Roman" w:hAnsi="Times New Roman" w:cs="Times New Roman"/>
        </w:rPr>
        <w:t xml:space="preserve"> </w:t>
      </w:r>
      <w:r w:rsidR="00393A93" w:rsidRPr="00E4375B">
        <w:rPr>
          <w:rFonts w:ascii="Times New Roman" w:hAnsi="Times New Roman" w:cs="Times New Roman"/>
        </w:rPr>
        <w:t xml:space="preserve">reconocer </w:t>
      </w:r>
      <w:r w:rsidR="00B22679" w:rsidRPr="00E4375B">
        <w:rPr>
          <w:rFonts w:ascii="Times New Roman" w:hAnsi="Times New Roman" w:cs="Times New Roman"/>
        </w:rPr>
        <w:t xml:space="preserve">la </w:t>
      </w:r>
      <w:r w:rsidR="00393A93" w:rsidRPr="00E4375B">
        <w:rPr>
          <w:rFonts w:ascii="Times New Roman" w:hAnsi="Times New Roman" w:cs="Times New Roman"/>
        </w:rPr>
        <w:t xml:space="preserve">imperiosa </w:t>
      </w:r>
      <w:r w:rsidR="00605B18" w:rsidRPr="00E4375B">
        <w:rPr>
          <w:rFonts w:ascii="Times New Roman" w:hAnsi="Times New Roman" w:cs="Times New Roman"/>
        </w:rPr>
        <w:t xml:space="preserve">necesidad </w:t>
      </w:r>
      <w:r w:rsidR="00393A93" w:rsidRPr="00E4375B">
        <w:rPr>
          <w:rFonts w:ascii="Times New Roman" w:hAnsi="Times New Roman" w:cs="Times New Roman"/>
        </w:rPr>
        <w:t xml:space="preserve">de normas internacionales de contabilidad de alta calidad. </w:t>
      </w:r>
    </w:p>
    <w:p w14:paraId="24B01952" w14:textId="6B7E46A9" w:rsidR="00E13CCD" w:rsidRPr="00E4375B" w:rsidRDefault="00E13CCD" w:rsidP="00E4375B">
      <w:pPr>
        <w:spacing w:line="360" w:lineRule="auto"/>
        <w:jc w:val="both"/>
        <w:rPr>
          <w:rFonts w:ascii="Times New Roman" w:hAnsi="Times New Roman" w:cs="Times New Roman"/>
        </w:rPr>
      </w:pPr>
      <w:r w:rsidRPr="00E4375B">
        <w:rPr>
          <w:rFonts w:ascii="Times New Roman" w:hAnsi="Times New Roman" w:cs="Times New Roman"/>
        </w:rPr>
        <w:t>A partir de 2000, el IASC cambia su denominación por International Accounting Standards Boar -IASB- o Junta de Normas Internacionales de Contabilidad asum</w:t>
      </w:r>
      <w:r w:rsidR="000A492C" w:rsidRPr="00E4375B">
        <w:rPr>
          <w:rFonts w:ascii="Times New Roman" w:hAnsi="Times New Roman" w:cs="Times New Roman"/>
        </w:rPr>
        <w:t>iendo</w:t>
      </w:r>
      <w:r w:rsidRPr="00E4375B">
        <w:rPr>
          <w:rFonts w:ascii="Times New Roman" w:hAnsi="Times New Roman" w:cs="Times New Roman"/>
        </w:rPr>
        <w:t xml:space="preserve"> el compromiso por la emisión de las </w:t>
      </w:r>
      <w:bookmarkStart w:id="0" w:name="_Hlk52784761"/>
      <w:r w:rsidRPr="00E4375B">
        <w:rPr>
          <w:rFonts w:ascii="Times New Roman" w:hAnsi="Times New Roman" w:cs="Times New Roman"/>
        </w:rPr>
        <w:t xml:space="preserve">International Financial Reporting Standars </w:t>
      </w:r>
      <w:bookmarkEnd w:id="0"/>
      <w:r w:rsidRPr="00E4375B">
        <w:rPr>
          <w:rFonts w:ascii="Times New Roman" w:hAnsi="Times New Roman" w:cs="Times New Roman"/>
        </w:rPr>
        <w:t>-NIIF- o Normas Internacionales de Información Financiera.</w:t>
      </w:r>
    </w:p>
    <w:p w14:paraId="3916AD62" w14:textId="67BDE98B" w:rsidR="00917592" w:rsidRPr="00E4375B" w:rsidRDefault="00603DBB" w:rsidP="00E4375B">
      <w:pPr>
        <w:spacing w:line="360" w:lineRule="auto"/>
        <w:jc w:val="both"/>
        <w:rPr>
          <w:rFonts w:ascii="Times New Roman" w:hAnsi="Times New Roman" w:cs="Times New Roman"/>
        </w:rPr>
      </w:pPr>
      <w:r w:rsidRPr="00E4375B">
        <w:rPr>
          <w:rFonts w:ascii="Times New Roman" w:hAnsi="Times New Roman" w:cs="Times New Roman"/>
        </w:rPr>
        <w:t xml:space="preserve">El debate respecto a la calidad de la información financiera y al impacto por la adopción de las NIIF en reemplazo de las normativas locales ha estimulado ampliamente a la investigación empírica. </w:t>
      </w:r>
      <w:r w:rsidR="00917592" w:rsidRPr="00E4375B">
        <w:rPr>
          <w:rFonts w:ascii="Times New Roman" w:hAnsi="Times New Roman" w:cs="Times New Roman"/>
        </w:rPr>
        <w:t>En estos últimos años han surgido estudios en sectores específicos de la industria, especialmente para el sector financiero</w:t>
      </w:r>
      <w:r w:rsidRPr="00E4375B">
        <w:rPr>
          <w:rFonts w:ascii="Times New Roman" w:hAnsi="Times New Roman" w:cs="Times New Roman"/>
        </w:rPr>
        <w:t>.</w:t>
      </w:r>
    </w:p>
    <w:p w14:paraId="360661EB" w14:textId="77777777" w:rsidR="00917592" w:rsidRPr="00E4375B" w:rsidRDefault="00917592" w:rsidP="00E4375B">
      <w:pPr>
        <w:spacing w:line="360" w:lineRule="auto"/>
        <w:jc w:val="both"/>
        <w:rPr>
          <w:rFonts w:ascii="Times New Roman" w:hAnsi="Times New Roman" w:cs="Times New Roman"/>
        </w:rPr>
      </w:pPr>
      <w:r w:rsidRPr="00E4375B">
        <w:rPr>
          <w:rFonts w:ascii="Times New Roman" w:hAnsi="Times New Roman" w:cs="Times New Roman"/>
        </w:rPr>
        <w:t xml:space="preserve">El interés por los estudios referidos a esta industria radica en los significativos impactos que genera en la economía. Por una parte, los sistemas bancarios son relevantes para el crecimiento económico de todos los países puesto que permiten la inversión de capital hacia actividades productivas promoviendo una asignación eficiente de los recursos económicos. </w:t>
      </w:r>
    </w:p>
    <w:p w14:paraId="3BE7723F" w14:textId="1C577BDE" w:rsidR="00917592" w:rsidRPr="00E4375B" w:rsidRDefault="00917592" w:rsidP="00E4375B">
      <w:pPr>
        <w:spacing w:line="360" w:lineRule="auto"/>
        <w:jc w:val="both"/>
        <w:rPr>
          <w:rFonts w:ascii="Times New Roman" w:hAnsi="Times New Roman" w:cs="Times New Roman"/>
        </w:rPr>
      </w:pPr>
      <w:r w:rsidRPr="00E4375B">
        <w:rPr>
          <w:rFonts w:ascii="Times New Roman" w:hAnsi="Times New Roman" w:cs="Times New Roman"/>
        </w:rPr>
        <w:t xml:space="preserve">Por otra parte, las crisis bancarias provocan efectos negativos en la economía mucho mayores que las generadas por sectores no financieros. En este sentido, Cohen et al. (2023) sostienen que “los bancos juegan un rol crítico en la economía. Lo que los hace diferente es la extensión de los daños potenciales que pueden causar si colapsan y su particular proceso productivo” </w:t>
      </w:r>
      <w:sdt>
        <w:sdtPr>
          <w:rPr>
            <w:rFonts w:ascii="Times New Roman" w:hAnsi="Times New Roman" w:cs="Times New Roman"/>
          </w:rPr>
          <w:id w:val="-2016370961"/>
          <w:citation/>
        </w:sdtPr>
        <w:sdtContent>
          <w:r w:rsidRPr="00E4375B">
            <w:rPr>
              <w:rFonts w:ascii="Times New Roman" w:hAnsi="Times New Roman" w:cs="Times New Roman"/>
            </w:rPr>
            <w:fldChar w:fldCharType="begin"/>
          </w:r>
          <w:r w:rsidRPr="00E4375B">
            <w:rPr>
              <w:rFonts w:ascii="Times New Roman" w:hAnsi="Times New Roman" w:cs="Times New Roman"/>
            </w:rPr>
            <w:instrText xml:space="preserve">CITATION Coh23 \p 10 \n  \y  \t  \l 11274 </w:instrText>
          </w:r>
          <w:r w:rsidRPr="00E4375B">
            <w:rPr>
              <w:rFonts w:ascii="Times New Roman" w:hAnsi="Times New Roman" w:cs="Times New Roman"/>
            </w:rPr>
            <w:fldChar w:fldCharType="separate"/>
          </w:r>
          <w:r w:rsidR="00505AD5" w:rsidRPr="00E4375B">
            <w:rPr>
              <w:rFonts w:ascii="Times New Roman" w:hAnsi="Times New Roman" w:cs="Times New Roman"/>
              <w:noProof/>
            </w:rPr>
            <w:t>(p. 10)</w:t>
          </w:r>
          <w:r w:rsidRPr="00E4375B">
            <w:rPr>
              <w:rFonts w:ascii="Times New Roman" w:hAnsi="Times New Roman" w:cs="Times New Roman"/>
            </w:rPr>
            <w:fldChar w:fldCharType="end"/>
          </w:r>
        </w:sdtContent>
      </w:sdt>
      <w:r w:rsidRPr="00E4375B">
        <w:rPr>
          <w:rFonts w:ascii="Times New Roman" w:hAnsi="Times New Roman" w:cs="Times New Roman"/>
        </w:rPr>
        <w:t xml:space="preserve">. </w:t>
      </w:r>
    </w:p>
    <w:p w14:paraId="4DAED713" w14:textId="7A8AEAD9" w:rsidR="00603DBB" w:rsidRPr="00E4375B" w:rsidRDefault="00603DBB" w:rsidP="00E4375B">
      <w:pPr>
        <w:spacing w:line="360" w:lineRule="auto"/>
        <w:jc w:val="both"/>
        <w:rPr>
          <w:rFonts w:ascii="Times New Roman" w:hAnsi="Times New Roman" w:cs="Times New Roman"/>
        </w:rPr>
      </w:pPr>
      <w:r w:rsidRPr="00E4375B">
        <w:rPr>
          <w:rFonts w:ascii="Times New Roman" w:hAnsi="Times New Roman" w:cs="Times New Roman"/>
        </w:rPr>
        <w:t xml:space="preserve">La profesión contable en Argentina no ha quedado al margen de </w:t>
      </w:r>
      <w:r w:rsidR="000D7196" w:rsidRPr="00E4375B">
        <w:rPr>
          <w:rFonts w:ascii="Times New Roman" w:hAnsi="Times New Roman" w:cs="Times New Roman"/>
        </w:rPr>
        <w:t>las discusiones en torno a la calidad de las cifras contables y la adopción de los estándares internacionales. Tanto es así que,</w:t>
      </w:r>
      <w:r w:rsidRPr="00E4375B">
        <w:rPr>
          <w:rFonts w:ascii="Times New Roman" w:hAnsi="Times New Roman" w:cs="Times New Roman"/>
        </w:rPr>
        <w:t xml:space="preserve"> la Federación Argentina de Consejos Profesionales de Ciencias Económicas -FACPCE-, con la emisión de la Resolución Técnica Nº 26 en 2009, estableció la adopción de las Normas Internacionales de Información Financiera en forma obligatoria para la preparación de Estados Contables de las entidades incluidas en el régimen de oferta pública, para los ejercicios que se iniciaron a partir del 01 de enero de 2012. </w:t>
      </w:r>
    </w:p>
    <w:p w14:paraId="5789AAAE" w14:textId="28BE8D26" w:rsidR="00E27C31" w:rsidRPr="00E4375B" w:rsidRDefault="00603DBB" w:rsidP="00E4375B">
      <w:pPr>
        <w:spacing w:line="360" w:lineRule="auto"/>
        <w:jc w:val="both"/>
        <w:rPr>
          <w:rFonts w:ascii="Times New Roman" w:hAnsi="Times New Roman" w:cs="Times New Roman"/>
        </w:rPr>
      </w:pPr>
      <w:r w:rsidRPr="00E4375B">
        <w:rPr>
          <w:rFonts w:ascii="Times New Roman" w:hAnsi="Times New Roman" w:cs="Times New Roman"/>
        </w:rPr>
        <w:t>Ahora bien, las entidades financieras fueron exceptuadas</w:t>
      </w:r>
      <w:r w:rsidR="00E27C31" w:rsidRPr="00E4375B">
        <w:rPr>
          <w:rFonts w:ascii="Times New Roman" w:hAnsi="Times New Roman" w:cs="Times New Roman"/>
        </w:rPr>
        <w:t>, pero el Banco Central de la República Argentina con la Comunicación “A” 5541 de fecha 12 de febrero de 2014 estableció la convergencia hacia NIIF de los ejercicios anuales iniciados a partir del 01 de enero de 2018.</w:t>
      </w:r>
    </w:p>
    <w:p w14:paraId="3091D851" w14:textId="6F228C69" w:rsidR="0050765E" w:rsidRPr="00E4375B" w:rsidRDefault="0017246D" w:rsidP="00E4375B">
      <w:pPr>
        <w:spacing w:line="360" w:lineRule="auto"/>
        <w:jc w:val="both"/>
        <w:rPr>
          <w:rFonts w:ascii="Times New Roman" w:hAnsi="Times New Roman" w:cs="Times New Roman"/>
        </w:rPr>
      </w:pPr>
      <w:r w:rsidRPr="00E4375B">
        <w:rPr>
          <w:rFonts w:ascii="Times New Roman" w:hAnsi="Times New Roman" w:cs="Times New Roman"/>
        </w:rPr>
        <w:t>En este marco, e</w:t>
      </w:r>
      <w:r w:rsidR="009B1A03" w:rsidRPr="00E4375B">
        <w:rPr>
          <w:rFonts w:ascii="Times New Roman" w:hAnsi="Times New Roman" w:cs="Times New Roman"/>
        </w:rPr>
        <w:t>l presente trabajo tiene como objetivo analizar la calidad de la información contable de las entidades financieras en Argentina en el período previo a la adopción de las Normas Internacionales de Información Financiera -NIIF-.</w:t>
      </w:r>
    </w:p>
    <w:p w14:paraId="4E710117" w14:textId="36FA4ECE" w:rsidR="000D7196" w:rsidRPr="00E4375B" w:rsidRDefault="007B0D46" w:rsidP="00E4375B">
      <w:pPr>
        <w:spacing w:line="360" w:lineRule="auto"/>
        <w:jc w:val="both"/>
        <w:rPr>
          <w:rFonts w:ascii="Times New Roman" w:hAnsi="Times New Roman" w:cs="Times New Roman"/>
          <w:u w:val="single"/>
        </w:rPr>
      </w:pPr>
      <w:r w:rsidRPr="00E4375B">
        <w:rPr>
          <w:rFonts w:ascii="Times New Roman" w:hAnsi="Times New Roman" w:cs="Times New Roman"/>
          <w:u w:val="single"/>
        </w:rPr>
        <w:t>La Relevancia Valorativa como Métrica de la Calidad de la Información Financiera</w:t>
      </w:r>
    </w:p>
    <w:p w14:paraId="01BE77CF" w14:textId="1B0C129B" w:rsidR="00F6670F" w:rsidRPr="00E4375B" w:rsidRDefault="000D7196" w:rsidP="00E4375B">
      <w:pPr>
        <w:spacing w:line="360" w:lineRule="auto"/>
        <w:jc w:val="both"/>
        <w:rPr>
          <w:rFonts w:ascii="Times New Roman" w:hAnsi="Times New Roman" w:cs="Times New Roman"/>
        </w:rPr>
      </w:pPr>
      <w:r w:rsidRPr="00E4375B">
        <w:rPr>
          <w:rFonts w:ascii="Times New Roman" w:hAnsi="Times New Roman" w:cs="Times New Roman"/>
        </w:rPr>
        <w:lastRenderedPageBreak/>
        <w:t xml:space="preserve">El interés por la calidad de las cifras contables </w:t>
      </w:r>
      <w:r w:rsidR="00E027C7" w:rsidRPr="00E4375B">
        <w:rPr>
          <w:rFonts w:ascii="Times New Roman" w:hAnsi="Times New Roman" w:cs="Times New Roman"/>
        </w:rPr>
        <w:t xml:space="preserve">generó importantes discusiones </w:t>
      </w:r>
      <w:r w:rsidR="003A5033" w:rsidRPr="00E4375B">
        <w:rPr>
          <w:rFonts w:ascii="Times New Roman" w:hAnsi="Times New Roman" w:cs="Times New Roman"/>
        </w:rPr>
        <w:t xml:space="preserve">para tratar de lograr su conceptualización </w:t>
      </w:r>
      <w:r w:rsidRPr="00E4375B">
        <w:rPr>
          <w:rFonts w:ascii="Times New Roman" w:hAnsi="Times New Roman" w:cs="Times New Roman"/>
        </w:rPr>
        <w:t xml:space="preserve">por parte de </w:t>
      </w:r>
      <w:r w:rsidR="00F6670F" w:rsidRPr="00E4375B">
        <w:rPr>
          <w:rFonts w:ascii="Times New Roman" w:hAnsi="Times New Roman" w:cs="Times New Roman"/>
        </w:rPr>
        <w:t>académicos, investigadores contables y organismos emisores</w:t>
      </w:r>
      <w:r w:rsidR="005A78B9" w:rsidRPr="00E4375B">
        <w:rPr>
          <w:rFonts w:ascii="Times New Roman" w:hAnsi="Times New Roman" w:cs="Times New Roman"/>
        </w:rPr>
        <w:t>.</w:t>
      </w:r>
      <w:r w:rsidR="003A5033" w:rsidRPr="00E4375B">
        <w:rPr>
          <w:rFonts w:ascii="Times New Roman" w:hAnsi="Times New Roman" w:cs="Times New Roman"/>
        </w:rPr>
        <w:t xml:space="preserve"> </w:t>
      </w:r>
      <w:r w:rsidR="005A78B9" w:rsidRPr="00E4375B">
        <w:rPr>
          <w:rFonts w:ascii="Times New Roman" w:hAnsi="Times New Roman" w:cs="Times New Roman"/>
        </w:rPr>
        <w:t>S</w:t>
      </w:r>
      <w:r w:rsidR="003A0AED" w:rsidRPr="00E4375B">
        <w:rPr>
          <w:rFonts w:ascii="Times New Roman" w:hAnsi="Times New Roman" w:cs="Times New Roman"/>
        </w:rPr>
        <w:t xml:space="preserve">in embargo, los debates </w:t>
      </w:r>
      <w:r w:rsidR="00E25B71" w:rsidRPr="00E4375B">
        <w:rPr>
          <w:rFonts w:ascii="Times New Roman" w:hAnsi="Times New Roman" w:cs="Times New Roman"/>
        </w:rPr>
        <w:t xml:space="preserve">y las reflexiones dan cuenta que </w:t>
      </w:r>
      <w:r w:rsidR="003A0AED" w:rsidRPr="00E4375B">
        <w:rPr>
          <w:rFonts w:ascii="Times New Roman" w:hAnsi="Times New Roman" w:cs="Times New Roman"/>
        </w:rPr>
        <w:t xml:space="preserve">no </w:t>
      </w:r>
      <w:r w:rsidR="00E25B71" w:rsidRPr="00E4375B">
        <w:rPr>
          <w:rFonts w:ascii="Times New Roman" w:hAnsi="Times New Roman" w:cs="Times New Roman"/>
        </w:rPr>
        <w:t xml:space="preserve">se </w:t>
      </w:r>
      <w:r w:rsidR="003A0AED" w:rsidRPr="00E4375B">
        <w:rPr>
          <w:rFonts w:ascii="Times New Roman" w:hAnsi="Times New Roman" w:cs="Times New Roman"/>
        </w:rPr>
        <w:t>arrib</w:t>
      </w:r>
      <w:r w:rsidR="00E25B71" w:rsidRPr="00E4375B">
        <w:rPr>
          <w:rFonts w:ascii="Times New Roman" w:hAnsi="Times New Roman" w:cs="Times New Roman"/>
        </w:rPr>
        <w:t>ó</w:t>
      </w:r>
      <w:r w:rsidR="003A0AED" w:rsidRPr="00E4375B">
        <w:rPr>
          <w:rFonts w:ascii="Times New Roman" w:hAnsi="Times New Roman" w:cs="Times New Roman"/>
        </w:rPr>
        <w:t xml:space="preserve"> a un consenso.</w:t>
      </w:r>
    </w:p>
    <w:p w14:paraId="548EAFCE" w14:textId="5FCED929" w:rsidR="003A0AED" w:rsidRPr="00E4375B" w:rsidRDefault="003A0AED" w:rsidP="00E4375B">
      <w:pPr>
        <w:spacing w:line="360" w:lineRule="auto"/>
        <w:jc w:val="both"/>
        <w:rPr>
          <w:rFonts w:ascii="Times New Roman" w:hAnsi="Times New Roman" w:cs="Times New Roman"/>
        </w:rPr>
      </w:pPr>
      <w:r w:rsidRPr="00E4375B">
        <w:rPr>
          <w:rFonts w:ascii="Times New Roman" w:hAnsi="Times New Roman" w:cs="Times New Roman"/>
        </w:rPr>
        <w:t>Tanto es así que, actualmente se considera que la calidad de la información financiera es un concepto abstracto, sin definición precisa, resultante de procesos subjetivos (Barth, 2006; Chen et al., 2010; Dechow et al., 2010; Dumitru, 2012; Hail et al., 2010; Hribar et al., 2014; Mazzioni &amp; Klann, 2017; Morais &amp; Corto, 2008; Sánchez et al., 2017; Yoon, 2007; Zorio Grima et al., 2004).</w:t>
      </w:r>
    </w:p>
    <w:p w14:paraId="26D71419" w14:textId="11117A28" w:rsidR="00B07963" w:rsidRPr="00E4375B" w:rsidRDefault="003A0AED" w:rsidP="00E4375B">
      <w:pPr>
        <w:spacing w:line="360" w:lineRule="auto"/>
        <w:jc w:val="both"/>
        <w:rPr>
          <w:rFonts w:ascii="Times New Roman" w:hAnsi="Times New Roman" w:cs="Times New Roman"/>
        </w:rPr>
      </w:pPr>
      <w:r w:rsidRPr="00E4375B">
        <w:rPr>
          <w:rFonts w:ascii="Times New Roman" w:hAnsi="Times New Roman" w:cs="Times New Roman"/>
        </w:rPr>
        <w:t>Es por esto que,</w:t>
      </w:r>
      <w:r w:rsidR="003A5033" w:rsidRPr="00E4375B">
        <w:rPr>
          <w:rFonts w:ascii="Times New Roman" w:hAnsi="Times New Roman" w:cs="Times New Roman"/>
        </w:rPr>
        <w:t xml:space="preserve"> </w:t>
      </w:r>
      <w:r w:rsidR="00B07963" w:rsidRPr="00E4375B">
        <w:rPr>
          <w:rFonts w:ascii="Times New Roman" w:hAnsi="Times New Roman" w:cs="Times New Roman"/>
        </w:rPr>
        <w:t>los científicos contables comenzaron a centrar sus esfuerzos en el desarrollo de métricas que permitan evaluar la calidad de la información financiera.</w:t>
      </w:r>
      <w:r w:rsidR="003A5033" w:rsidRPr="00E4375B">
        <w:rPr>
          <w:rFonts w:ascii="Times New Roman" w:hAnsi="Times New Roman" w:cs="Times New Roman"/>
        </w:rPr>
        <w:t xml:space="preserve"> En este camino, Imhoff &amp; Thomas </w:t>
      </w:r>
      <w:sdt>
        <w:sdtPr>
          <w:rPr>
            <w:rFonts w:ascii="Times New Roman" w:hAnsi="Times New Roman" w:cs="Times New Roman"/>
          </w:rPr>
          <w:id w:val="-598023667"/>
          <w:citation/>
        </w:sdtPr>
        <w:sdtContent>
          <w:r w:rsidR="003A5033" w:rsidRPr="00E4375B">
            <w:rPr>
              <w:rFonts w:ascii="Times New Roman" w:hAnsi="Times New Roman" w:cs="Times New Roman"/>
            </w:rPr>
            <w:fldChar w:fldCharType="begin"/>
          </w:r>
          <w:r w:rsidR="00503243" w:rsidRPr="00E4375B">
            <w:rPr>
              <w:rFonts w:ascii="Times New Roman" w:hAnsi="Times New Roman" w:cs="Times New Roman"/>
            </w:rPr>
            <w:instrText xml:space="preserve">CITATION Imh89 \n  \t  \l 11274 </w:instrText>
          </w:r>
          <w:r w:rsidR="003A5033" w:rsidRPr="00E4375B">
            <w:rPr>
              <w:rFonts w:ascii="Times New Roman" w:hAnsi="Times New Roman" w:cs="Times New Roman"/>
            </w:rPr>
            <w:fldChar w:fldCharType="separate"/>
          </w:r>
          <w:r w:rsidR="00503243" w:rsidRPr="00E4375B">
            <w:rPr>
              <w:rFonts w:ascii="Times New Roman" w:hAnsi="Times New Roman" w:cs="Times New Roman"/>
              <w:noProof/>
            </w:rPr>
            <w:t>(1989)</w:t>
          </w:r>
          <w:r w:rsidR="003A5033" w:rsidRPr="00E4375B">
            <w:rPr>
              <w:rFonts w:ascii="Times New Roman" w:hAnsi="Times New Roman" w:cs="Times New Roman"/>
            </w:rPr>
            <w:fldChar w:fldCharType="end"/>
          </w:r>
        </w:sdtContent>
      </w:sdt>
      <w:r w:rsidR="003A5033" w:rsidRPr="00E4375B">
        <w:rPr>
          <w:rFonts w:ascii="Times New Roman" w:hAnsi="Times New Roman" w:cs="Times New Roman"/>
        </w:rPr>
        <w:t xml:space="preserve"> expresaron que la calidad de valoración es una perspectiva de operacionalización del constructo calidad de la información financiera.</w:t>
      </w:r>
    </w:p>
    <w:p w14:paraId="33A171B5" w14:textId="35E9B4FC" w:rsidR="003A5033" w:rsidRPr="00E4375B" w:rsidRDefault="003A5033" w:rsidP="00E4375B">
      <w:pPr>
        <w:spacing w:line="360" w:lineRule="auto"/>
        <w:jc w:val="both"/>
        <w:rPr>
          <w:rFonts w:ascii="Times New Roman" w:hAnsi="Times New Roman" w:cs="Times New Roman"/>
        </w:rPr>
      </w:pPr>
      <w:r w:rsidRPr="00E4375B">
        <w:rPr>
          <w:rFonts w:ascii="Times New Roman" w:hAnsi="Times New Roman" w:cs="Times New Roman"/>
        </w:rPr>
        <w:t xml:space="preserve">La calidad de valoración está directamente relacionada con la apreciación que el mercado realiza de las cifras contables y se materializa en los precios de las acciones en el mercado. Así, una mayor calidad se relaciona con una mayor asociación precio-información financiera, esto es mayor relevancia valorativa. Esta perspectiva de materialización “es el concepto de calidad del resultado subyacente en la mayor parte de la literatura contable orientada al mercado de capitales” </w:t>
      </w:r>
      <w:sdt>
        <w:sdtPr>
          <w:rPr>
            <w:rFonts w:ascii="Times New Roman" w:hAnsi="Times New Roman" w:cs="Times New Roman"/>
          </w:rPr>
          <w:id w:val="2010864335"/>
          <w:citation/>
        </w:sdtPr>
        <w:sdtContent>
          <w:r w:rsidRPr="00E4375B">
            <w:rPr>
              <w:rFonts w:ascii="Times New Roman" w:hAnsi="Times New Roman" w:cs="Times New Roman"/>
            </w:rPr>
            <w:fldChar w:fldCharType="begin"/>
          </w:r>
          <w:r w:rsidRPr="00E4375B">
            <w:rPr>
              <w:rFonts w:ascii="Times New Roman" w:hAnsi="Times New Roman" w:cs="Times New Roman"/>
            </w:rPr>
            <w:instrText xml:space="preserve">CITATION Pin00 \p 151 \t  \l 11274 </w:instrText>
          </w:r>
          <w:r w:rsidRPr="00E4375B">
            <w:rPr>
              <w:rFonts w:ascii="Times New Roman" w:hAnsi="Times New Roman" w:cs="Times New Roman"/>
            </w:rPr>
            <w:fldChar w:fldCharType="separate"/>
          </w:r>
          <w:r w:rsidR="00505AD5" w:rsidRPr="00E4375B">
            <w:rPr>
              <w:rFonts w:ascii="Times New Roman" w:hAnsi="Times New Roman" w:cs="Times New Roman"/>
              <w:noProof/>
            </w:rPr>
            <w:t>(Pineda González, 2000, p. 151)</w:t>
          </w:r>
          <w:r w:rsidRPr="00E4375B">
            <w:rPr>
              <w:rFonts w:ascii="Times New Roman" w:hAnsi="Times New Roman" w:cs="Times New Roman"/>
            </w:rPr>
            <w:fldChar w:fldCharType="end"/>
          </w:r>
        </w:sdtContent>
      </w:sdt>
      <w:r w:rsidRPr="00E4375B">
        <w:rPr>
          <w:rFonts w:ascii="Times New Roman" w:hAnsi="Times New Roman" w:cs="Times New Roman"/>
        </w:rPr>
        <w:t>.</w:t>
      </w:r>
    </w:p>
    <w:p w14:paraId="546FBE2C" w14:textId="7EB69B35" w:rsidR="003A5033" w:rsidRPr="00E4375B" w:rsidRDefault="003A5033" w:rsidP="00E4375B">
      <w:pPr>
        <w:spacing w:line="360" w:lineRule="auto"/>
        <w:jc w:val="both"/>
        <w:rPr>
          <w:rFonts w:ascii="Times New Roman" w:hAnsi="Times New Roman" w:cs="Times New Roman"/>
        </w:rPr>
      </w:pPr>
      <w:r w:rsidRPr="00E4375B">
        <w:rPr>
          <w:rFonts w:ascii="Times New Roman" w:hAnsi="Times New Roman" w:cs="Times New Roman"/>
        </w:rPr>
        <w:t>De esta manera, la relevancia valorativa estudia la capacidad de la información contable para capturar o resumir los valores de mercado</w:t>
      </w:r>
      <w:r w:rsidR="00BA209F" w:rsidRPr="00E4375B">
        <w:rPr>
          <w:rFonts w:ascii="Times New Roman" w:hAnsi="Times New Roman" w:cs="Times New Roman"/>
        </w:rPr>
        <w:t xml:space="preserve"> de manera tal que, </w:t>
      </w:r>
      <w:r w:rsidRPr="00E4375B">
        <w:rPr>
          <w:rFonts w:ascii="Times New Roman" w:hAnsi="Times New Roman" w:cs="Times New Roman"/>
        </w:rPr>
        <w:t>cuando un monto contable tiene una relación estadísticamente significativa con el precio de las acciones es considerado valor relevante para el inversor. Este constructo es una medida directa de la utilidad en la decisión y por ende de la calidad de las cifras contables, está diseñado para evaluar si las cifras contables capturan la información que los inversores utilizan para determinar el valor de la empresa.</w:t>
      </w:r>
    </w:p>
    <w:p w14:paraId="02591380" w14:textId="7E8B3506" w:rsidR="00B07963" w:rsidRPr="00E4375B" w:rsidRDefault="00B07963" w:rsidP="00E4375B">
      <w:pPr>
        <w:spacing w:line="360" w:lineRule="auto"/>
        <w:jc w:val="both"/>
        <w:rPr>
          <w:rFonts w:ascii="Times New Roman" w:hAnsi="Times New Roman" w:cs="Times New Roman"/>
        </w:rPr>
      </w:pPr>
      <w:r w:rsidRPr="00E4375B">
        <w:rPr>
          <w:rFonts w:ascii="Times New Roman" w:hAnsi="Times New Roman" w:cs="Times New Roman"/>
        </w:rPr>
        <w:t xml:space="preserve">Una de las características de la relevancia valorativa es el empleo de modelos de valoración, “que relacionen el valor de las empresas con características específicas de las mismas que se supone que los inversionistas valoran” </w:t>
      </w:r>
      <w:sdt>
        <w:sdtPr>
          <w:rPr>
            <w:rFonts w:ascii="Times New Roman" w:hAnsi="Times New Roman" w:cs="Times New Roman"/>
          </w:rPr>
          <w:id w:val="-295454729"/>
          <w:citation/>
        </w:sdtPr>
        <w:sdtContent>
          <w:r w:rsidRPr="00E4375B">
            <w:rPr>
              <w:rFonts w:ascii="Times New Roman" w:hAnsi="Times New Roman" w:cs="Times New Roman"/>
            </w:rPr>
            <w:fldChar w:fldCharType="begin"/>
          </w:r>
          <w:r w:rsidRPr="00E4375B">
            <w:rPr>
              <w:rFonts w:ascii="Times New Roman" w:hAnsi="Times New Roman" w:cs="Times New Roman"/>
            </w:rPr>
            <w:instrText xml:space="preserve">CITATION Bar00 \p 11 \t  \l 11274 </w:instrText>
          </w:r>
          <w:r w:rsidRPr="00E4375B">
            <w:rPr>
              <w:rFonts w:ascii="Times New Roman" w:hAnsi="Times New Roman" w:cs="Times New Roman"/>
            </w:rPr>
            <w:fldChar w:fldCharType="separate"/>
          </w:r>
          <w:r w:rsidR="00505AD5" w:rsidRPr="00E4375B">
            <w:rPr>
              <w:rFonts w:ascii="Times New Roman" w:hAnsi="Times New Roman" w:cs="Times New Roman"/>
              <w:noProof/>
            </w:rPr>
            <w:t>(Barth, 2000, p. 11)</w:t>
          </w:r>
          <w:r w:rsidRPr="00E4375B">
            <w:rPr>
              <w:rFonts w:ascii="Times New Roman" w:hAnsi="Times New Roman" w:cs="Times New Roman"/>
            </w:rPr>
            <w:fldChar w:fldCharType="end"/>
          </w:r>
        </w:sdtContent>
      </w:sdt>
      <w:r w:rsidRPr="00E4375B">
        <w:rPr>
          <w:rFonts w:ascii="Times New Roman" w:hAnsi="Times New Roman" w:cs="Times New Roman"/>
        </w:rPr>
        <w:t>.</w:t>
      </w:r>
    </w:p>
    <w:p w14:paraId="1782D20B" w14:textId="3151DE37" w:rsidR="0066088F" w:rsidRPr="00E4375B" w:rsidRDefault="00B07963" w:rsidP="00E4375B">
      <w:pPr>
        <w:spacing w:line="360" w:lineRule="auto"/>
        <w:jc w:val="both"/>
        <w:rPr>
          <w:rFonts w:ascii="Times New Roman" w:hAnsi="Times New Roman" w:cs="Times New Roman"/>
        </w:rPr>
      </w:pPr>
      <w:r w:rsidRPr="00E4375B">
        <w:rPr>
          <w:rFonts w:ascii="Times New Roman" w:hAnsi="Times New Roman" w:cs="Times New Roman"/>
        </w:rPr>
        <w:t xml:space="preserve">En este sentido, el avance más importante fue el desarrollo teórico formal de la relación entre la información públicamente disponible, contable o no, y el valor de la empresa </w:t>
      </w:r>
      <w:r w:rsidR="0074387C" w:rsidRPr="00E4375B">
        <w:rPr>
          <w:rFonts w:ascii="Times New Roman" w:hAnsi="Times New Roman" w:cs="Times New Roman"/>
        </w:rPr>
        <w:t xml:space="preserve">de Ohlson </w:t>
      </w:r>
      <w:sdt>
        <w:sdtPr>
          <w:rPr>
            <w:rFonts w:ascii="Times New Roman" w:hAnsi="Times New Roman" w:cs="Times New Roman"/>
          </w:rPr>
          <w:id w:val="1476803900"/>
          <w:citation/>
        </w:sdtPr>
        <w:sdtContent>
          <w:r w:rsidR="0074387C" w:rsidRPr="00E4375B">
            <w:rPr>
              <w:rFonts w:ascii="Times New Roman" w:hAnsi="Times New Roman" w:cs="Times New Roman"/>
            </w:rPr>
            <w:fldChar w:fldCharType="begin"/>
          </w:r>
          <w:r w:rsidR="0074387C" w:rsidRPr="00E4375B">
            <w:rPr>
              <w:rFonts w:ascii="Times New Roman" w:hAnsi="Times New Roman" w:cs="Times New Roman"/>
            </w:rPr>
            <w:instrText xml:space="preserve">CITATION Ohl951 \n  \t  \l 11274 </w:instrText>
          </w:r>
          <w:r w:rsidR="0074387C" w:rsidRPr="00E4375B">
            <w:rPr>
              <w:rFonts w:ascii="Times New Roman" w:hAnsi="Times New Roman" w:cs="Times New Roman"/>
            </w:rPr>
            <w:fldChar w:fldCharType="separate"/>
          </w:r>
          <w:r w:rsidR="00505AD5" w:rsidRPr="00E4375B">
            <w:rPr>
              <w:rFonts w:ascii="Times New Roman" w:hAnsi="Times New Roman" w:cs="Times New Roman"/>
              <w:noProof/>
            </w:rPr>
            <w:t>(1995)</w:t>
          </w:r>
          <w:r w:rsidR="0074387C" w:rsidRPr="00E4375B">
            <w:rPr>
              <w:rFonts w:ascii="Times New Roman" w:hAnsi="Times New Roman" w:cs="Times New Roman"/>
            </w:rPr>
            <w:fldChar w:fldCharType="end"/>
          </w:r>
        </w:sdtContent>
      </w:sdt>
      <w:r w:rsidR="0074387C" w:rsidRPr="00E4375B">
        <w:rPr>
          <w:rFonts w:ascii="Times New Roman" w:hAnsi="Times New Roman" w:cs="Times New Roman"/>
        </w:rPr>
        <w:t xml:space="preserve"> y posteriormente de Feltham </w:t>
      </w:r>
      <w:r w:rsidR="00B357C0" w:rsidRPr="00E4375B">
        <w:rPr>
          <w:rFonts w:ascii="Times New Roman" w:hAnsi="Times New Roman" w:cs="Times New Roman"/>
        </w:rPr>
        <w:t>&amp;</w:t>
      </w:r>
      <w:r w:rsidR="0074387C" w:rsidRPr="00E4375B">
        <w:rPr>
          <w:rFonts w:ascii="Times New Roman" w:hAnsi="Times New Roman" w:cs="Times New Roman"/>
        </w:rPr>
        <w:t xml:space="preserve"> Ohlson </w:t>
      </w:r>
      <w:sdt>
        <w:sdtPr>
          <w:rPr>
            <w:rFonts w:ascii="Times New Roman" w:hAnsi="Times New Roman" w:cs="Times New Roman"/>
          </w:rPr>
          <w:id w:val="-1053692831"/>
          <w:citation/>
        </w:sdtPr>
        <w:sdtContent>
          <w:r w:rsidR="0074387C" w:rsidRPr="00E4375B">
            <w:rPr>
              <w:rFonts w:ascii="Times New Roman" w:hAnsi="Times New Roman" w:cs="Times New Roman"/>
            </w:rPr>
            <w:fldChar w:fldCharType="begin"/>
          </w:r>
          <w:r w:rsidR="0074387C" w:rsidRPr="00E4375B">
            <w:rPr>
              <w:rFonts w:ascii="Times New Roman" w:hAnsi="Times New Roman" w:cs="Times New Roman"/>
            </w:rPr>
            <w:instrText xml:space="preserve">CITATION Fel95 \n  \t  \l 11274 </w:instrText>
          </w:r>
          <w:r w:rsidR="0074387C" w:rsidRPr="00E4375B">
            <w:rPr>
              <w:rFonts w:ascii="Times New Roman" w:hAnsi="Times New Roman" w:cs="Times New Roman"/>
            </w:rPr>
            <w:fldChar w:fldCharType="separate"/>
          </w:r>
          <w:r w:rsidR="00505AD5" w:rsidRPr="00E4375B">
            <w:rPr>
              <w:rFonts w:ascii="Times New Roman" w:hAnsi="Times New Roman" w:cs="Times New Roman"/>
              <w:noProof/>
            </w:rPr>
            <w:t>(1995)</w:t>
          </w:r>
          <w:r w:rsidR="0074387C" w:rsidRPr="00E4375B">
            <w:rPr>
              <w:rFonts w:ascii="Times New Roman" w:hAnsi="Times New Roman" w:cs="Times New Roman"/>
            </w:rPr>
            <w:fldChar w:fldCharType="end"/>
          </w:r>
        </w:sdtContent>
      </w:sdt>
      <w:r w:rsidRPr="00E4375B">
        <w:rPr>
          <w:rFonts w:ascii="Times New Roman" w:hAnsi="Times New Roman" w:cs="Times New Roman"/>
        </w:rPr>
        <w:t>.</w:t>
      </w:r>
      <w:r w:rsidR="0074387C" w:rsidRPr="00E4375B">
        <w:rPr>
          <w:rFonts w:ascii="Times New Roman" w:hAnsi="Times New Roman" w:cs="Times New Roman"/>
        </w:rPr>
        <w:t xml:space="preserve"> Como sostienen Giner Inchausti &amp; Iñiguez Sánchez </w:t>
      </w:r>
      <w:sdt>
        <w:sdtPr>
          <w:rPr>
            <w:rFonts w:ascii="Times New Roman" w:hAnsi="Times New Roman" w:cs="Times New Roman"/>
          </w:rPr>
          <w:id w:val="-2123600716"/>
          <w:citation/>
        </w:sdtPr>
        <w:sdtContent>
          <w:r w:rsidR="0074387C" w:rsidRPr="00E4375B">
            <w:rPr>
              <w:rFonts w:ascii="Times New Roman" w:hAnsi="Times New Roman" w:cs="Times New Roman"/>
            </w:rPr>
            <w:fldChar w:fldCharType="begin"/>
          </w:r>
          <w:r w:rsidR="0074387C" w:rsidRPr="00E4375B">
            <w:rPr>
              <w:rFonts w:ascii="Times New Roman" w:hAnsi="Times New Roman" w:cs="Times New Roman"/>
            </w:rPr>
            <w:instrText xml:space="preserve">CITATION Gin06 \n  \t  \l 11274 </w:instrText>
          </w:r>
          <w:r w:rsidR="0074387C" w:rsidRPr="00E4375B">
            <w:rPr>
              <w:rFonts w:ascii="Times New Roman" w:hAnsi="Times New Roman" w:cs="Times New Roman"/>
            </w:rPr>
            <w:fldChar w:fldCharType="separate"/>
          </w:r>
          <w:r w:rsidR="00505AD5" w:rsidRPr="00E4375B">
            <w:rPr>
              <w:rFonts w:ascii="Times New Roman" w:hAnsi="Times New Roman" w:cs="Times New Roman"/>
              <w:noProof/>
            </w:rPr>
            <w:t>(2006)</w:t>
          </w:r>
          <w:r w:rsidR="0074387C" w:rsidRPr="00E4375B">
            <w:rPr>
              <w:rFonts w:ascii="Times New Roman" w:hAnsi="Times New Roman" w:cs="Times New Roman"/>
            </w:rPr>
            <w:fldChar w:fldCharType="end"/>
          </w:r>
        </w:sdtContent>
      </w:sdt>
      <w:r w:rsidR="0074387C" w:rsidRPr="00E4375B">
        <w:rPr>
          <w:rFonts w:ascii="Times New Roman" w:hAnsi="Times New Roman" w:cs="Times New Roman"/>
        </w:rPr>
        <w:t xml:space="preserve"> “estos modelos se han convertido en la principal referencia de la investigación contable centrada en el papel de la información para los mercados de capitales” </w:t>
      </w:r>
      <w:sdt>
        <w:sdtPr>
          <w:rPr>
            <w:rFonts w:ascii="Times New Roman" w:hAnsi="Times New Roman" w:cs="Times New Roman"/>
          </w:rPr>
          <w:id w:val="-54241239"/>
          <w:citation/>
        </w:sdtPr>
        <w:sdtContent>
          <w:r w:rsidR="0074387C" w:rsidRPr="00E4375B">
            <w:rPr>
              <w:rFonts w:ascii="Times New Roman" w:hAnsi="Times New Roman" w:cs="Times New Roman"/>
            </w:rPr>
            <w:fldChar w:fldCharType="begin"/>
          </w:r>
          <w:r w:rsidR="0074387C" w:rsidRPr="00E4375B">
            <w:rPr>
              <w:rFonts w:ascii="Times New Roman" w:hAnsi="Times New Roman" w:cs="Times New Roman"/>
            </w:rPr>
            <w:instrText xml:space="preserve">CITATION Gin06 \p 56 \n  \y  \t  \l 11274 </w:instrText>
          </w:r>
          <w:r w:rsidR="0074387C" w:rsidRPr="00E4375B">
            <w:rPr>
              <w:rFonts w:ascii="Times New Roman" w:hAnsi="Times New Roman" w:cs="Times New Roman"/>
            </w:rPr>
            <w:fldChar w:fldCharType="separate"/>
          </w:r>
          <w:r w:rsidR="00505AD5" w:rsidRPr="00E4375B">
            <w:rPr>
              <w:rFonts w:ascii="Times New Roman" w:hAnsi="Times New Roman" w:cs="Times New Roman"/>
              <w:noProof/>
            </w:rPr>
            <w:t>(p. 56)</w:t>
          </w:r>
          <w:r w:rsidR="0074387C" w:rsidRPr="00E4375B">
            <w:rPr>
              <w:rFonts w:ascii="Times New Roman" w:hAnsi="Times New Roman" w:cs="Times New Roman"/>
            </w:rPr>
            <w:fldChar w:fldCharType="end"/>
          </w:r>
        </w:sdtContent>
      </w:sdt>
      <w:r w:rsidR="0074387C" w:rsidRPr="00E4375B">
        <w:rPr>
          <w:rFonts w:ascii="Times New Roman" w:hAnsi="Times New Roman" w:cs="Times New Roman"/>
        </w:rPr>
        <w:t>.</w:t>
      </w:r>
    </w:p>
    <w:p w14:paraId="396E7352" w14:textId="1528357E" w:rsidR="007D10A4" w:rsidRPr="00E4375B" w:rsidRDefault="00091E9F" w:rsidP="00E4375B">
      <w:pPr>
        <w:spacing w:line="360" w:lineRule="auto"/>
        <w:jc w:val="both"/>
        <w:rPr>
          <w:rFonts w:ascii="Times New Roman" w:hAnsi="Times New Roman" w:cs="Times New Roman"/>
          <w:u w:val="single"/>
        </w:rPr>
      </w:pPr>
      <w:r w:rsidRPr="00E4375B">
        <w:rPr>
          <w:rFonts w:ascii="Times New Roman" w:hAnsi="Times New Roman" w:cs="Times New Roman"/>
          <w:u w:val="single"/>
        </w:rPr>
        <w:t>Revisión de la literatura</w:t>
      </w:r>
    </w:p>
    <w:p w14:paraId="2D0530CC" w14:textId="36B50983" w:rsidR="00A82F44" w:rsidRPr="00E4375B" w:rsidRDefault="00A82F44" w:rsidP="00E4375B">
      <w:pPr>
        <w:tabs>
          <w:tab w:val="left" w:pos="2865"/>
        </w:tabs>
        <w:spacing w:line="360" w:lineRule="auto"/>
        <w:jc w:val="both"/>
        <w:rPr>
          <w:rFonts w:ascii="Times New Roman" w:hAnsi="Times New Roman" w:cs="Times New Roman"/>
        </w:rPr>
      </w:pPr>
      <w:r w:rsidRPr="00E4375B">
        <w:rPr>
          <w:rFonts w:ascii="Times New Roman" w:hAnsi="Times New Roman" w:cs="Times New Roman"/>
        </w:rPr>
        <w:lastRenderedPageBreak/>
        <w:t xml:space="preserve">En estos últimos años el foco de la investigación contable en mercado de capitales se ha centrado </w:t>
      </w:r>
      <w:r w:rsidR="00CE50C7" w:rsidRPr="00E4375B">
        <w:rPr>
          <w:rFonts w:ascii="Times New Roman" w:hAnsi="Times New Roman" w:cs="Times New Roman"/>
        </w:rPr>
        <w:t xml:space="preserve">en </w:t>
      </w:r>
      <w:r w:rsidRPr="00E4375B">
        <w:rPr>
          <w:rFonts w:ascii="Times New Roman" w:hAnsi="Times New Roman" w:cs="Times New Roman"/>
        </w:rPr>
        <w:t>preguntas tales como ¿qué normas contables producen información financiera de mayor calidad para los participantes del mercado de capitales?, ¿los estándares globales proveen información financiera de mayor calidad que las normas contables locales?, entre otras.</w:t>
      </w:r>
    </w:p>
    <w:p w14:paraId="3242AAF0" w14:textId="02987AE1" w:rsidR="00ED6598" w:rsidRPr="00E4375B" w:rsidRDefault="007120F8" w:rsidP="00E4375B">
      <w:pPr>
        <w:tabs>
          <w:tab w:val="left" w:pos="2865"/>
        </w:tabs>
        <w:spacing w:line="360" w:lineRule="auto"/>
        <w:jc w:val="both"/>
        <w:rPr>
          <w:rFonts w:ascii="Times New Roman" w:hAnsi="Times New Roman" w:cs="Times New Roman"/>
        </w:rPr>
      </w:pPr>
      <w:r w:rsidRPr="00E4375B">
        <w:rPr>
          <w:rFonts w:ascii="Times New Roman" w:hAnsi="Times New Roman" w:cs="Times New Roman"/>
        </w:rPr>
        <w:t>Numeroso</w:t>
      </w:r>
      <w:r w:rsidR="00161E09" w:rsidRPr="00E4375B">
        <w:rPr>
          <w:rFonts w:ascii="Times New Roman" w:hAnsi="Times New Roman" w:cs="Times New Roman"/>
        </w:rPr>
        <w:t>s</w:t>
      </w:r>
      <w:r w:rsidR="00A242EA" w:rsidRPr="00E4375B">
        <w:rPr>
          <w:rFonts w:ascii="Times New Roman" w:hAnsi="Times New Roman" w:cs="Times New Roman"/>
        </w:rPr>
        <w:t xml:space="preserve"> estudios indaga</w:t>
      </w:r>
      <w:r w:rsidR="004F7E75">
        <w:rPr>
          <w:rFonts w:ascii="Times New Roman" w:hAnsi="Times New Roman" w:cs="Times New Roman"/>
        </w:rPr>
        <w:t>ron</w:t>
      </w:r>
      <w:r w:rsidR="00A242EA" w:rsidRPr="00E4375B">
        <w:rPr>
          <w:rFonts w:ascii="Times New Roman" w:hAnsi="Times New Roman" w:cs="Times New Roman"/>
        </w:rPr>
        <w:t xml:space="preserve"> la calidad de las cifras contables en períodos pre y post NIIF</w:t>
      </w:r>
      <w:r w:rsidRPr="00E4375B">
        <w:rPr>
          <w:rFonts w:ascii="Times New Roman" w:hAnsi="Times New Roman" w:cs="Times New Roman"/>
        </w:rPr>
        <w:t xml:space="preserve"> </w:t>
      </w:r>
      <w:r w:rsidR="004F7E75">
        <w:rPr>
          <w:rFonts w:ascii="Times New Roman" w:hAnsi="Times New Roman" w:cs="Times New Roman"/>
        </w:rPr>
        <w:t>de</w:t>
      </w:r>
      <w:r w:rsidRPr="00E4375B">
        <w:rPr>
          <w:rFonts w:ascii="Times New Roman" w:hAnsi="Times New Roman" w:cs="Times New Roman"/>
        </w:rPr>
        <w:t xml:space="preserve"> </w:t>
      </w:r>
      <w:r w:rsidR="0086543D" w:rsidRPr="00E4375B">
        <w:rPr>
          <w:rFonts w:ascii="Times New Roman" w:hAnsi="Times New Roman" w:cs="Times New Roman"/>
        </w:rPr>
        <w:t xml:space="preserve">todas </w:t>
      </w:r>
      <w:r w:rsidRPr="00E4375B">
        <w:rPr>
          <w:rFonts w:ascii="Times New Roman" w:hAnsi="Times New Roman" w:cs="Times New Roman"/>
        </w:rPr>
        <w:t xml:space="preserve">las empresas cotizantes </w:t>
      </w:r>
      <w:r w:rsidR="004F7E75">
        <w:rPr>
          <w:rFonts w:ascii="Times New Roman" w:hAnsi="Times New Roman" w:cs="Times New Roman"/>
        </w:rPr>
        <w:t>en</w:t>
      </w:r>
      <w:r w:rsidR="0086543D" w:rsidRPr="00E4375B">
        <w:rPr>
          <w:rFonts w:ascii="Times New Roman" w:hAnsi="Times New Roman" w:cs="Times New Roman"/>
        </w:rPr>
        <w:t xml:space="preserve"> determinados mercados de capitales </w:t>
      </w:r>
      <w:r w:rsidR="004F7E75">
        <w:rPr>
          <w:rFonts w:ascii="Times New Roman" w:hAnsi="Times New Roman" w:cs="Times New Roman"/>
        </w:rPr>
        <w:t xml:space="preserve">pero </w:t>
      </w:r>
      <w:r w:rsidR="008548F1" w:rsidRPr="00E4375B">
        <w:rPr>
          <w:rFonts w:ascii="Times New Roman" w:hAnsi="Times New Roman" w:cs="Times New Roman"/>
        </w:rPr>
        <w:t>excluye</w:t>
      </w:r>
      <w:r w:rsidR="004F7E75">
        <w:rPr>
          <w:rFonts w:ascii="Times New Roman" w:hAnsi="Times New Roman" w:cs="Times New Roman"/>
        </w:rPr>
        <w:t>ndo</w:t>
      </w:r>
      <w:r w:rsidR="008548F1" w:rsidRPr="00E4375B">
        <w:rPr>
          <w:rFonts w:ascii="Times New Roman" w:hAnsi="Times New Roman" w:cs="Times New Roman"/>
        </w:rPr>
        <w:t xml:space="preserve"> a las empresas del sistema financiero</w:t>
      </w:r>
      <w:r w:rsidR="0086543D" w:rsidRPr="00E4375B">
        <w:rPr>
          <w:rFonts w:ascii="Times New Roman" w:hAnsi="Times New Roman" w:cs="Times New Roman"/>
        </w:rPr>
        <w:t xml:space="preserve"> </w:t>
      </w:r>
      <w:r w:rsidR="004F7E75">
        <w:rPr>
          <w:rFonts w:ascii="Times New Roman" w:hAnsi="Times New Roman" w:cs="Times New Roman"/>
        </w:rPr>
        <w:t>como en Ahmed et al.</w:t>
      </w:r>
      <w:r w:rsidR="004F7E75" w:rsidRPr="00E4375B">
        <w:rPr>
          <w:rFonts w:ascii="Times New Roman" w:hAnsi="Times New Roman" w:cs="Times New Roman"/>
        </w:rPr>
        <w:t xml:space="preserve"> </w:t>
      </w:r>
      <w:sdt>
        <w:sdtPr>
          <w:rPr>
            <w:rFonts w:ascii="Times New Roman" w:hAnsi="Times New Roman" w:cs="Times New Roman"/>
          </w:rPr>
          <w:id w:val="-1512139204"/>
          <w:citation/>
        </w:sdtPr>
        <w:sdtContent>
          <w:r w:rsidR="004F7E75" w:rsidRPr="00E4375B">
            <w:rPr>
              <w:rFonts w:ascii="Times New Roman" w:hAnsi="Times New Roman" w:cs="Times New Roman"/>
            </w:rPr>
            <w:fldChar w:fldCharType="begin"/>
          </w:r>
          <w:r w:rsidR="004F7E75">
            <w:rPr>
              <w:rFonts w:ascii="Times New Roman" w:hAnsi="Times New Roman" w:cs="Times New Roman"/>
            </w:rPr>
            <w:instrText xml:space="preserve">CITATION Ahm131 \n  \t  \l 11274 </w:instrText>
          </w:r>
          <w:r w:rsidR="004F7E75" w:rsidRPr="00E4375B">
            <w:rPr>
              <w:rFonts w:ascii="Times New Roman" w:hAnsi="Times New Roman" w:cs="Times New Roman"/>
            </w:rPr>
            <w:fldChar w:fldCharType="separate"/>
          </w:r>
          <w:r w:rsidR="004F7E75" w:rsidRPr="004F7E75">
            <w:rPr>
              <w:rFonts w:ascii="Times New Roman" w:hAnsi="Times New Roman" w:cs="Times New Roman"/>
              <w:noProof/>
            </w:rPr>
            <w:t>(2013)</w:t>
          </w:r>
          <w:r w:rsidR="004F7E75" w:rsidRPr="00E4375B">
            <w:rPr>
              <w:rFonts w:ascii="Times New Roman" w:hAnsi="Times New Roman" w:cs="Times New Roman"/>
            </w:rPr>
            <w:fldChar w:fldCharType="end"/>
          </w:r>
        </w:sdtContent>
      </w:sdt>
      <w:r w:rsidR="004F7E75" w:rsidRPr="00E4375B">
        <w:rPr>
          <w:rFonts w:ascii="Times New Roman" w:hAnsi="Times New Roman" w:cs="Times New Roman"/>
        </w:rPr>
        <w:t xml:space="preserve">, </w:t>
      </w:r>
      <w:r w:rsidR="004F7E75">
        <w:rPr>
          <w:rFonts w:ascii="Times New Roman" w:hAnsi="Times New Roman" w:cs="Times New Roman"/>
        </w:rPr>
        <w:t xml:space="preserve"> Barth et al, </w:t>
      </w:r>
      <w:sdt>
        <w:sdtPr>
          <w:rPr>
            <w:rFonts w:ascii="Times New Roman" w:hAnsi="Times New Roman" w:cs="Times New Roman"/>
          </w:rPr>
          <w:id w:val="-872993361"/>
          <w:citation/>
        </w:sdtPr>
        <w:sdtContent>
          <w:r w:rsidR="004F7E75" w:rsidRPr="00E4375B">
            <w:rPr>
              <w:rFonts w:ascii="Times New Roman" w:hAnsi="Times New Roman" w:cs="Times New Roman"/>
            </w:rPr>
            <w:fldChar w:fldCharType="begin"/>
          </w:r>
          <w:r w:rsidR="004F7E75">
            <w:rPr>
              <w:rFonts w:ascii="Times New Roman" w:hAnsi="Times New Roman" w:cs="Times New Roman"/>
            </w:rPr>
            <w:instrText xml:space="preserve">CITATION Bar081 \n  \t  \l 11274 </w:instrText>
          </w:r>
          <w:r w:rsidR="004F7E75" w:rsidRPr="00E4375B">
            <w:rPr>
              <w:rFonts w:ascii="Times New Roman" w:hAnsi="Times New Roman" w:cs="Times New Roman"/>
            </w:rPr>
            <w:fldChar w:fldCharType="separate"/>
          </w:r>
          <w:r w:rsidR="004F7E75" w:rsidRPr="004F7E75">
            <w:rPr>
              <w:rFonts w:ascii="Times New Roman" w:hAnsi="Times New Roman" w:cs="Times New Roman"/>
              <w:noProof/>
            </w:rPr>
            <w:t>(2008)</w:t>
          </w:r>
          <w:r w:rsidR="004F7E75" w:rsidRPr="00E4375B">
            <w:rPr>
              <w:rFonts w:ascii="Times New Roman" w:hAnsi="Times New Roman" w:cs="Times New Roman"/>
            </w:rPr>
            <w:fldChar w:fldCharType="end"/>
          </w:r>
        </w:sdtContent>
      </w:sdt>
      <w:r w:rsidR="004F7E75">
        <w:rPr>
          <w:rFonts w:ascii="Times New Roman" w:hAnsi="Times New Roman" w:cs="Times New Roman"/>
        </w:rPr>
        <w:t>, Mazzioni &amp; Klann</w:t>
      </w:r>
      <w:r w:rsidR="00EE3C5F" w:rsidRPr="00E4375B">
        <w:rPr>
          <w:rFonts w:ascii="Times New Roman" w:hAnsi="Times New Roman" w:cs="Times New Roman"/>
        </w:rPr>
        <w:t xml:space="preserve"> </w:t>
      </w:r>
      <w:sdt>
        <w:sdtPr>
          <w:rPr>
            <w:rFonts w:ascii="Times New Roman" w:hAnsi="Times New Roman" w:cs="Times New Roman"/>
          </w:rPr>
          <w:id w:val="1691018876"/>
          <w:citation/>
        </w:sdtPr>
        <w:sdtContent>
          <w:r w:rsidR="001E5B8D" w:rsidRPr="00E4375B">
            <w:rPr>
              <w:rFonts w:ascii="Times New Roman" w:hAnsi="Times New Roman" w:cs="Times New Roman"/>
            </w:rPr>
            <w:fldChar w:fldCharType="begin"/>
          </w:r>
          <w:r w:rsidR="004F7E75">
            <w:rPr>
              <w:rFonts w:ascii="Times New Roman" w:hAnsi="Times New Roman" w:cs="Times New Roman"/>
            </w:rPr>
            <w:instrText xml:space="preserve">CITATION Maz18 \n  \t  \l 11274 </w:instrText>
          </w:r>
          <w:r w:rsidR="001E5B8D" w:rsidRPr="00E4375B">
            <w:rPr>
              <w:rFonts w:ascii="Times New Roman" w:hAnsi="Times New Roman" w:cs="Times New Roman"/>
            </w:rPr>
            <w:fldChar w:fldCharType="separate"/>
          </w:r>
          <w:r w:rsidR="004F7E75" w:rsidRPr="004F7E75">
            <w:rPr>
              <w:rFonts w:ascii="Times New Roman" w:hAnsi="Times New Roman" w:cs="Times New Roman"/>
              <w:noProof/>
            </w:rPr>
            <w:t>(2018)</w:t>
          </w:r>
          <w:r w:rsidR="001E5B8D" w:rsidRPr="00E4375B">
            <w:rPr>
              <w:rFonts w:ascii="Times New Roman" w:hAnsi="Times New Roman" w:cs="Times New Roman"/>
            </w:rPr>
            <w:fldChar w:fldCharType="end"/>
          </w:r>
        </w:sdtContent>
      </w:sdt>
      <w:r w:rsidR="00547499" w:rsidRPr="00E4375B">
        <w:rPr>
          <w:rFonts w:ascii="Times New Roman" w:hAnsi="Times New Roman" w:cs="Times New Roman"/>
        </w:rPr>
        <w:t>,</w:t>
      </w:r>
      <w:r w:rsidR="004F7E75">
        <w:rPr>
          <w:rFonts w:ascii="Times New Roman" w:hAnsi="Times New Roman" w:cs="Times New Roman"/>
        </w:rPr>
        <w:t xml:space="preserve"> entre otros</w:t>
      </w:r>
      <w:r w:rsidR="00D221A6" w:rsidRPr="00E4375B">
        <w:rPr>
          <w:rFonts w:ascii="Times New Roman" w:hAnsi="Times New Roman" w:cs="Times New Roman"/>
        </w:rPr>
        <w:t>.</w:t>
      </w:r>
      <w:r w:rsidRPr="00E4375B">
        <w:rPr>
          <w:rFonts w:ascii="Times New Roman" w:hAnsi="Times New Roman" w:cs="Times New Roman"/>
        </w:rPr>
        <w:t xml:space="preserve"> </w:t>
      </w:r>
      <w:r w:rsidR="00B86DEE" w:rsidRPr="00E4375B">
        <w:rPr>
          <w:rFonts w:ascii="Times New Roman" w:hAnsi="Times New Roman" w:cs="Times New Roman"/>
        </w:rPr>
        <w:t>Ahora bien, e</w:t>
      </w:r>
      <w:r w:rsidRPr="00E4375B">
        <w:rPr>
          <w:rFonts w:ascii="Times New Roman" w:hAnsi="Times New Roman" w:cs="Times New Roman"/>
        </w:rPr>
        <w:t>n estos último</w:t>
      </w:r>
      <w:r w:rsidR="00FC4F7A" w:rsidRPr="00E4375B">
        <w:rPr>
          <w:rFonts w:ascii="Times New Roman" w:hAnsi="Times New Roman" w:cs="Times New Roman"/>
        </w:rPr>
        <w:t>s</w:t>
      </w:r>
      <w:r w:rsidRPr="00E4375B">
        <w:rPr>
          <w:rFonts w:ascii="Times New Roman" w:hAnsi="Times New Roman" w:cs="Times New Roman"/>
        </w:rPr>
        <w:t xml:space="preserve"> </w:t>
      </w:r>
      <w:r w:rsidR="00B86DEE" w:rsidRPr="00E4375B">
        <w:rPr>
          <w:rFonts w:ascii="Times New Roman" w:hAnsi="Times New Roman" w:cs="Times New Roman"/>
        </w:rPr>
        <w:t xml:space="preserve">las </w:t>
      </w:r>
      <w:r w:rsidRPr="00E4375B">
        <w:rPr>
          <w:rFonts w:ascii="Times New Roman" w:hAnsi="Times New Roman" w:cs="Times New Roman"/>
        </w:rPr>
        <w:t xml:space="preserve">investigaciones </w:t>
      </w:r>
      <w:r w:rsidR="00B86DEE" w:rsidRPr="00E4375B">
        <w:rPr>
          <w:rFonts w:ascii="Times New Roman" w:hAnsi="Times New Roman" w:cs="Times New Roman"/>
        </w:rPr>
        <w:t xml:space="preserve">se vienen centrando en </w:t>
      </w:r>
      <w:r w:rsidR="00A242EA" w:rsidRPr="00E4375B">
        <w:rPr>
          <w:rFonts w:ascii="Times New Roman" w:hAnsi="Times New Roman" w:cs="Times New Roman"/>
        </w:rPr>
        <w:t>la industria bancaria</w:t>
      </w:r>
      <w:r w:rsidR="00401819" w:rsidRPr="00E4375B">
        <w:rPr>
          <w:rFonts w:ascii="Times New Roman" w:hAnsi="Times New Roman" w:cs="Times New Roman"/>
        </w:rPr>
        <w:t>.</w:t>
      </w:r>
      <w:r w:rsidR="006F526E" w:rsidRPr="00E4375B">
        <w:rPr>
          <w:rFonts w:ascii="Times New Roman" w:hAnsi="Times New Roman" w:cs="Times New Roman"/>
        </w:rPr>
        <w:t xml:space="preserve"> </w:t>
      </w:r>
    </w:p>
    <w:p w14:paraId="6B0C3B3E" w14:textId="19157BCB" w:rsidR="00CE10F5" w:rsidRPr="00E4375B" w:rsidRDefault="00ED6598" w:rsidP="00E4375B">
      <w:pPr>
        <w:tabs>
          <w:tab w:val="left" w:pos="2865"/>
        </w:tabs>
        <w:spacing w:line="360" w:lineRule="auto"/>
        <w:jc w:val="both"/>
        <w:rPr>
          <w:rFonts w:ascii="Times New Roman" w:hAnsi="Times New Roman" w:cs="Times New Roman"/>
        </w:rPr>
      </w:pPr>
      <w:r w:rsidRPr="00E4375B">
        <w:rPr>
          <w:rFonts w:ascii="Times New Roman" w:hAnsi="Times New Roman" w:cs="Times New Roman"/>
        </w:rPr>
        <w:t xml:space="preserve">En este sentido, </w:t>
      </w:r>
      <w:r w:rsidR="006F526E" w:rsidRPr="00E4375B">
        <w:rPr>
          <w:rFonts w:ascii="Times New Roman" w:hAnsi="Times New Roman" w:cs="Times New Roman"/>
        </w:rPr>
        <w:t>Agostino</w:t>
      </w:r>
      <w:r w:rsidR="00B357C0" w:rsidRPr="00E4375B">
        <w:rPr>
          <w:rFonts w:ascii="Times New Roman" w:hAnsi="Times New Roman" w:cs="Times New Roman"/>
        </w:rPr>
        <w:t xml:space="preserve"> et al.</w:t>
      </w:r>
      <w:r w:rsidR="00A242EA" w:rsidRPr="00E4375B">
        <w:rPr>
          <w:rFonts w:ascii="Times New Roman" w:hAnsi="Times New Roman" w:cs="Times New Roman"/>
        </w:rPr>
        <w:t xml:space="preserve"> </w:t>
      </w:r>
      <w:sdt>
        <w:sdtPr>
          <w:rPr>
            <w:rFonts w:ascii="Times New Roman" w:hAnsi="Times New Roman" w:cs="Times New Roman"/>
          </w:rPr>
          <w:id w:val="-1276867329"/>
          <w:citation/>
        </w:sdtPr>
        <w:sdtContent>
          <w:r w:rsidR="00A242EA" w:rsidRPr="00E4375B">
            <w:rPr>
              <w:rFonts w:ascii="Times New Roman" w:hAnsi="Times New Roman" w:cs="Times New Roman"/>
            </w:rPr>
            <w:fldChar w:fldCharType="begin"/>
          </w:r>
          <w:r w:rsidR="006F526E" w:rsidRPr="00E4375B">
            <w:rPr>
              <w:rFonts w:ascii="Times New Roman" w:hAnsi="Times New Roman" w:cs="Times New Roman"/>
            </w:rPr>
            <w:instrText xml:space="preserve">CITATION Ago11 \n  \t  \l 11274 </w:instrText>
          </w:r>
          <w:r w:rsidR="00A242EA" w:rsidRPr="00E4375B">
            <w:rPr>
              <w:rFonts w:ascii="Times New Roman" w:hAnsi="Times New Roman" w:cs="Times New Roman"/>
            </w:rPr>
            <w:fldChar w:fldCharType="separate"/>
          </w:r>
          <w:r w:rsidR="00505AD5" w:rsidRPr="00E4375B">
            <w:rPr>
              <w:rFonts w:ascii="Times New Roman" w:hAnsi="Times New Roman" w:cs="Times New Roman"/>
              <w:noProof/>
            </w:rPr>
            <w:t>(2011)</w:t>
          </w:r>
          <w:r w:rsidR="00A242EA" w:rsidRPr="00E4375B">
            <w:rPr>
              <w:rFonts w:ascii="Times New Roman" w:hAnsi="Times New Roman" w:cs="Times New Roman"/>
            </w:rPr>
            <w:fldChar w:fldCharType="end"/>
          </w:r>
        </w:sdtContent>
      </w:sdt>
      <w:r w:rsidR="00CD3536" w:rsidRPr="00E4375B">
        <w:rPr>
          <w:rFonts w:ascii="Times New Roman" w:hAnsi="Times New Roman" w:cs="Times New Roman"/>
        </w:rPr>
        <w:t xml:space="preserve"> en un estudio sobre bancos europeos que cotiza</w:t>
      </w:r>
      <w:r w:rsidR="00EF6936">
        <w:rPr>
          <w:rFonts w:ascii="Times New Roman" w:hAnsi="Times New Roman" w:cs="Times New Roman"/>
        </w:rPr>
        <w:t>ban</w:t>
      </w:r>
      <w:r w:rsidR="00CD3536" w:rsidRPr="00E4375B">
        <w:rPr>
          <w:rFonts w:ascii="Times New Roman" w:hAnsi="Times New Roman" w:cs="Times New Roman"/>
        </w:rPr>
        <w:t xml:space="preserve"> en bolsa </w:t>
      </w:r>
      <w:r w:rsidR="00EF6936">
        <w:rPr>
          <w:rFonts w:ascii="Times New Roman" w:hAnsi="Times New Roman" w:cs="Times New Roman"/>
        </w:rPr>
        <w:t xml:space="preserve">entre 2000 a 2006 </w:t>
      </w:r>
      <w:r w:rsidR="00CD3536" w:rsidRPr="00E4375B">
        <w:rPr>
          <w:rFonts w:ascii="Times New Roman" w:hAnsi="Times New Roman" w:cs="Times New Roman"/>
        </w:rPr>
        <w:t>encontraron que</w:t>
      </w:r>
      <w:r w:rsidR="00401819" w:rsidRPr="00E4375B">
        <w:rPr>
          <w:rFonts w:ascii="Times New Roman" w:hAnsi="Times New Roman" w:cs="Times New Roman"/>
        </w:rPr>
        <w:t xml:space="preserve">, </w:t>
      </w:r>
      <w:r w:rsidR="00CE10F5" w:rsidRPr="00E4375B">
        <w:rPr>
          <w:rFonts w:ascii="Times New Roman" w:hAnsi="Times New Roman" w:cs="Times New Roman"/>
        </w:rPr>
        <w:t>en la etapa previa a la adopción de las NIIF</w:t>
      </w:r>
      <w:r w:rsidR="00141313">
        <w:rPr>
          <w:rFonts w:ascii="Times New Roman" w:hAnsi="Times New Roman" w:cs="Times New Roman"/>
        </w:rPr>
        <w:t>,</w:t>
      </w:r>
      <w:r w:rsidR="00CE10F5" w:rsidRPr="00E4375B">
        <w:rPr>
          <w:rFonts w:ascii="Times New Roman" w:hAnsi="Times New Roman" w:cs="Times New Roman"/>
        </w:rPr>
        <w:t xml:space="preserve"> las ganancias fueron valoradas por los inversores para la toma de decisiones mientras que el patrimonio neto no es considerado en sus modelos decisorios.</w:t>
      </w:r>
      <w:r w:rsidR="00141313">
        <w:rPr>
          <w:rFonts w:ascii="Times New Roman" w:hAnsi="Times New Roman" w:cs="Times New Roman"/>
        </w:rPr>
        <w:t xml:space="preserve"> </w:t>
      </w:r>
      <w:r w:rsidR="00141313" w:rsidRPr="00E4375B">
        <w:rPr>
          <w:rFonts w:ascii="Times New Roman" w:hAnsi="Times New Roman" w:cs="Times New Roman"/>
        </w:rPr>
        <w:t xml:space="preserve">Con la adopción de las NIIF </w:t>
      </w:r>
      <w:r w:rsidR="00EF6936">
        <w:rPr>
          <w:rFonts w:ascii="Times New Roman" w:hAnsi="Times New Roman" w:cs="Times New Roman"/>
        </w:rPr>
        <w:t xml:space="preserve">en 2005 </w:t>
      </w:r>
      <w:r w:rsidR="00141313" w:rsidRPr="00E4375B">
        <w:rPr>
          <w:rFonts w:ascii="Times New Roman" w:hAnsi="Times New Roman" w:cs="Times New Roman"/>
        </w:rPr>
        <w:t>la calidad de las ganancias mejoró</w:t>
      </w:r>
      <w:r w:rsidR="00141313">
        <w:rPr>
          <w:rFonts w:ascii="Times New Roman" w:hAnsi="Times New Roman" w:cs="Times New Roman"/>
        </w:rPr>
        <w:t xml:space="preserve"> en relación a las reportadas con las normas contables locales.</w:t>
      </w:r>
    </w:p>
    <w:p w14:paraId="5229D918" w14:textId="55BAF61D" w:rsidR="004A1893" w:rsidRPr="00E4375B" w:rsidRDefault="00690BD6" w:rsidP="00E4375B">
      <w:pPr>
        <w:tabs>
          <w:tab w:val="left" w:pos="2865"/>
        </w:tabs>
        <w:spacing w:line="360" w:lineRule="auto"/>
        <w:jc w:val="both"/>
        <w:rPr>
          <w:rFonts w:ascii="Times New Roman" w:hAnsi="Times New Roman" w:cs="Times New Roman"/>
        </w:rPr>
      </w:pPr>
      <w:r w:rsidRPr="00E4375B">
        <w:rPr>
          <w:rFonts w:ascii="Times New Roman" w:hAnsi="Times New Roman" w:cs="Times New Roman"/>
        </w:rPr>
        <w:t xml:space="preserve">Las conclusiones de esta investigación </w:t>
      </w:r>
      <w:r w:rsidR="003F692D" w:rsidRPr="00E4375B">
        <w:rPr>
          <w:rFonts w:ascii="Times New Roman" w:hAnsi="Times New Roman" w:cs="Times New Roman"/>
        </w:rPr>
        <w:t>fueron</w:t>
      </w:r>
      <w:r w:rsidRPr="00E4375B">
        <w:rPr>
          <w:rFonts w:ascii="Times New Roman" w:hAnsi="Times New Roman" w:cs="Times New Roman"/>
        </w:rPr>
        <w:t xml:space="preserve"> corroboradas por otros estudios como los de </w:t>
      </w:r>
      <w:r w:rsidR="00161E09" w:rsidRPr="00E4375B">
        <w:rPr>
          <w:rFonts w:ascii="Times New Roman" w:hAnsi="Times New Roman" w:cs="Times New Roman"/>
        </w:rPr>
        <w:t>Trabe</w:t>
      </w:r>
      <w:r w:rsidR="00294DCD" w:rsidRPr="00E4375B">
        <w:rPr>
          <w:rFonts w:ascii="Times New Roman" w:hAnsi="Times New Roman" w:cs="Times New Roman"/>
        </w:rPr>
        <w:t>l</w:t>
      </w:r>
      <w:r w:rsidR="00161E09" w:rsidRPr="00E4375B">
        <w:rPr>
          <w:rFonts w:ascii="Times New Roman" w:hAnsi="Times New Roman" w:cs="Times New Roman"/>
        </w:rPr>
        <w:t xml:space="preserve">si, N. &amp; Trabelsi, M. </w:t>
      </w:r>
      <w:sdt>
        <w:sdtPr>
          <w:rPr>
            <w:rFonts w:ascii="Times New Roman" w:hAnsi="Times New Roman" w:cs="Times New Roman"/>
          </w:rPr>
          <w:id w:val="-135260738"/>
          <w:citation/>
        </w:sdtPr>
        <w:sdtContent>
          <w:r w:rsidR="00161E09" w:rsidRPr="00E4375B">
            <w:rPr>
              <w:rFonts w:ascii="Times New Roman" w:hAnsi="Times New Roman" w:cs="Times New Roman"/>
            </w:rPr>
            <w:fldChar w:fldCharType="begin"/>
          </w:r>
          <w:r w:rsidR="00161E09" w:rsidRPr="00E4375B">
            <w:rPr>
              <w:rFonts w:ascii="Times New Roman" w:hAnsi="Times New Roman" w:cs="Times New Roman"/>
            </w:rPr>
            <w:instrText xml:space="preserve">CITATION Tra14 \n  \t  \l 11274 </w:instrText>
          </w:r>
          <w:r w:rsidR="00161E09" w:rsidRPr="00E4375B">
            <w:rPr>
              <w:rFonts w:ascii="Times New Roman" w:hAnsi="Times New Roman" w:cs="Times New Roman"/>
            </w:rPr>
            <w:fldChar w:fldCharType="separate"/>
          </w:r>
          <w:r w:rsidR="00505AD5" w:rsidRPr="00E4375B">
            <w:rPr>
              <w:rFonts w:ascii="Times New Roman" w:hAnsi="Times New Roman" w:cs="Times New Roman"/>
              <w:noProof/>
            </w:rPr>
            <w:t>(2014)</w:t>
          </w:r>
          <w:r w:rsidR="00161E09" w:rsidRPr="00E4375B">
            <w:rPr>
              <w:rFonts w:ascii="Times New Roman" w:hAnsi="Times New Roman" w:cs="Times New Roman"/>
            </w:rPr>
            <w:fldChar w:fldCharType="end"/>
          </w:r>
        </w:sdtContent>
      </w:sdt>
      <w:r w:rsidR="00161E09" w:rsidRPr="00E4375B">
        <w:rPr>
          <w:rFonts w:ascii="Times New Roman" w:hAnsi="Times New Roman" w:cs="Times New Roman"/>
        </w:rPr>
        <w:t xml:space="preserve"> </w:t>
      </w:r>
      <w:r w:rsidR="008548F1" w:rsidRPr="00E4375B">
        <w:rPr>
          <w:rFonts w:ascii="Times New Roman" w:hAnsi="Times New Roman" w:cs="Times New Roman"/>
        </w:rPr>
        <w:t xml:space="preserve">que </w:t>
      </w:r>
      <w:r w:rsidR="00161E09" w:rsidRPr="00E4375B">
        <w:rPr>
          <w:rFonts w:ascii="Times New Roman" w:hAnsi="Times New Roman" w:cs="Times New Roman"/>
        </w:rPr>
        <w:t>examinaron la relevancia del valor de la información contable para los bancos que cotizan en el Mercado Financiero de Dubai</w:t>
      </w:r>
      <w:r w:rsidR="001B1FA8" w:rsidRPr="00E4375B">
        <w:rPr>
          <w:rFonts w:ascii="Times New Roman" w:hAnsi="Times New Roman" w:cs="Times New Roman"/>
        </w:rPr>
        <w:t xml:space="preserve"> </w:t>
      </w:r>
      <w:r w:rsidR="00161E09" w:rsidRPr="00E4375B">
        <w:rPr>
          <w:rFonts w:ascii="Times New Roman" w:hAnsi="Times New Roman" w:cs="Times New Roman"/>
        </w:rPr>
        <w:t>para el período 2008 – 2013</w:t>
      </w:r>
      <w:r w:rsidR="00821607" w:rsidRPr="00E4375B">
        <w:rPr>
          <w:rFonts w:ascii="Times New Roman" w:hAnsi="Times New Roman" w:cs="Times New Roman"/>
        </w:rPr>
        <w:t>.</w:t>
      </w:r>
      <w:r w:rsidR="008A5330" w:rsidRPr="00E4375B">
        <w:rPr>
          <w:rFonts w:ascii="Times New Roman" w:hAnsi="Times New Roman" w:cs="Times New Roman"/>
        </w:rPr>
        <w:t xml:space="preserve"> </w:t>
      </w:r>
      <w:r w:rsidR="00B86DEE" w:rsidRPr="00E4375B">
        <w:rPr>
          <w:rFonts w:ascii="Times New Roman" w:hAnsi="Times New Roman" w:cs="Times New Roman"/>
        </w:rPr>
        <w:t>E</w:t>
      </w:r>
      <w:r w:rsidR="001B1FA8" w:rsidRPr="00E4375B">
        <w:rPr>
          <w:rFonts w:ascii="Times New Roman" w:hAnsi="Times New Roman" w:cs="Times New Roman"/>
        </w:rPr>
        <w:t xml:space="preserve">l resultado de su </w:t>
      </w:r>
      <w:r w:rsidR="00EF37B1">
        <w:rPr>
          <w:rFonts w:ascii="Times New Roman" w:hAnsi="Times New Roman" w:cs="Times New Roman"/>
        </w:rPr>
        <w:t>análisis</w:t>
      </w:r>
      <w:r w:rsidR="001B1FA8" w:rsidRPr="00E4375B">
        <w:rPr>
          <w:rFonts w:ascii="Times New Roman" w:hAnsi="Times New Roman" w:cs="Times New Roman"/>
        </w:rPr>
        <w:t xml:space="preserve"> arroj</w:t>
      </w:r>
      <w:r w:rsidR="00EF37B1">
        <w:rPr>
          <w:rFonts w:ascii="Times New Roman" w:hAnsi="Times New Roman" w:cs="Times New Roman"/>
        </w:rPr>
        <w:t>ó</w:t>
      </w:r>
      <w:r w:rsidR="001B1FA8" w:rsidRPr="00E4375B">
        <w:rPr>
          <w:rFonts w:ascii="Times New Roman" w:hAnsi="Times New Roman" w:cs="Times New Roman"/>
        </w:rPr>
        <w:t xml:space="preserve"> </w:t>
      </w:r>
      <w:r w:rsidR="00671A94" w:rsidRPr="00E4375B">
        <w:rPr>
          <w:rFonts w:ascii="Times New Roman" w:hAnsi="Times New Roman" w:cs="Times New Roman"/>
        </w:rPr>
        <w:t xml:space="preserve">que </w:t>
      </w:r>
      <w:r w:rsidR="001B1FA8" w:rsidRPr="00E4375B">
        <w:rPr>
          <w:rFonts w:ascii="Times New Roman" w:hAnsi="Times New Roman" w:cs="Times New Roman"/>
        </w:rPr>
        <w:t xml:space="preserve">las ganancias están relacionadas positivamente con los precios de las </w:t>
      </w:r>
      <w:r w:rsidR="00671A94" w:rsidRPr="00E4375B">
        <w:rPr>
          <w:rFonts w:ascii="Times New Roman" w:hAnsi="Times New Roman" w:cs="Times New Roman"/>
        </w:rPr>
        <w:t>acciones,</w:t>
      </w:r>
      <w:r w:rsidR="00961632" w:rsidRPr="00E4375B">
        <w:rPr>
          <w:rFonts w:ascii="Times New Roman" w:hAnsi="Times New Roman" w:cs="Times New Roman"/>
        </w:rPr>
        <w:t xml:space="preserve"> </w:t>
      </w:r>
      <w:r w:rsidR="00A60F34" w:rsidRPr="00E4375B">
        <w:rPr>
          <w:rFonts w:ascii="Times New Roman" w:hAnsi="Times New Roman" w:cs="Times New Roman"/>
        </w:rPr>
        <w:t>pero su asociación disminuye</w:t>
      </w:r>
      <w:r w:rsidR="00671A94" w:rsidRPr="00E4375B">
        <w:rPr>
          <w:rFonts w:ascii="Times New Roman" w:hAnsi="Times New Roman" w:cs="Times New Roman"/>
        </w:rPr>
        <w:t xml:space="preserve"> con la adopción de las NIIF.</w:t>
      </w:r>
      <w:r w:rsidR="00D83C0E" w:rsidRPr="00E4375B">
        <w:rPr>
          <w:rFonts w:ascii="Times New Roman" w:hAnsi="Times New Roman" w:cs="Times New Roman"/>
        </w:rPr>
        <w:t xml:space="preserve"> Además</w:t>
      </w:r>
      <w:r w:rsidR="008548F1" w:rsidRPr="00E4375B">
        <w:rPr>
          <w:rFonts w:ascii="Times New Roman" w:hAnsi="Times New Roman" w:cs="Times New Roman"/>
        </w:rPr>
        <w:t>,</w:t>
      </w:r>
      <w:r w:rsidR="001B1FA8" w:rsidRPr="00E4375B">
        <w:rPr>
          <w:rFonts w:ascii="Times New Roman" w:hAnsi="Times New Roman" w:cs="Times New Roman"/>
        </w:rPr>
        <w:t xml:space="preserve"> el valor de libros de las acciones </w:t>
      </w:r>
      <w:r w:rsidR="006D7A88" w:rsidRPr="00E4375B">
        <w:rPr>
          <w:rFonts w:ascii="Times New Roman" w:hAnsi="Times New Roman" w:cs="Times New Roman"/>
        </w:rPr>
        <w:t>por sí solo no está asociado con el precio de las acciones</w:t>
      </w:r>
      <w:r w:rsidR="00671A94" w:rsidRPr="00E4375B">
        <w:rPr>
          <w:rFonts w:ascii="Times New Roman" w:hAnsi="Times New Roman" w:cs="Times New Roman"/>
        </w:rPr>
        <w:t xml:space="preserve"> en todo el período estudiado.</w:t>
      </w:r>
    </w:p>
    <w:p w14:paraId="0F2EE83C" w14:textId="5EF66CF8" w:rsidR="00CE50C7" w:rsidRPr="00E4375B" w:rsidRDefault="00E02059" w:rsidP="00A125DC">
      <w:pPr>
        <w:tabs>
          <w:tab w:val="left" w:pos="2865"/>
        </w:tabs>
        <w:spacing w:line="360" w:lineRule="auto"/>
        <w:jc w:val="both"/>
        <w:rPr>
          <w:rFonts w:ascii="Times New Roman" w:hAnsi="Times New Roman" w:cs="Times New Roman"/>
        </w:rPr>
      </w:pPr>
      <w:r w:rsidRPr="00E4375B">
        <w:rPr>
          <w:rFonts w:ascii="Times New Roman" w:hAnsi="Times New Roman" w:cs="Times New Roman"/>
        </w:rPr>
        <w:t>En otros mercados de capitales la adopción de las NIIF no impacta positivamente en la calidad de las cifras contables</w:t>
      </w:r>
      <w:r w:rsidR="000D4A39" w:rsidRPr="000D4A39">
        <w:rPr>
          <w:rFonts w:ascii="Times New Roman" w:hAnsi="Times New Roman" w:cs="Times New Roman"/>
        </w:rPr>
        <w:t xml:space="preserve">. </w:t>
      </w:r>
      <w:r w:rsidR="00D95FC1" w:rsidRPr="000D4A39">
        <w:rPr>
          <w:rFonts w:ascii="Times New Roman" w:hAnsi="Times New Roman" w:cs="Times New Roman"/>
        </w:rPr>
        <w:t xml:space="preserve">Bolibok </w:t>
      </w:r>
      <w:sdt>
        <w:sdtPr>
          <w:rPr>
            <w:rFonts w:ascii="Times New Roman" w:hAnsi="Times New Roman" w:cs="Times New Roman"/>
          </w:rPr>
          <w:id w:val="200523120"/>
          <w:citation/>
        </w:sdtPr>
        <w:sdtContent>
          <w:r w:rsidR="00D95FC1" w:rsidRPr="000D4A39">
            <w:rPr>
              <w:rFonts w:ascii="Times New Roman" w:hAnsi="Times New Roman" w:cs="Times New Roman"/>
            </w:rPr>
            <w:fldChar w:fldCharType="begin"/>
          </w:r>
          <w:r w:rsidR="00D95FC1" w:rsidRPr="000D4A39">
            <w:rPr>
              <w:rFonts w:ascii="Times New Roman" w:hAnsi="Times New Roman" w:cs="Times New Roman"/>
            </w:rPr>
            <w:instrText xml:space="preserve">CITATION Bol14 \n  \t  \l 11274 </w:instrText>
          </w:r>
          <w:r w:rsidR="00D95FC1" w:rsidRPr="000D4A39">
            <w:rPr>
              <w:rFonts w:ascii="Times New Roman" w:hAnsi="Times New Roman" w:cs="Times New Roman"/>
            </w:rPr>
            <w:fldChar w:fldCharType="separate"/>
          </w:r>
          <w:r w:rsidR="00D95FC1" w:rsidRPr="000D4A39">
            <w:rPr>
              <w:rFonts w:ascii="Times New Roman" w:hAnsi="Times New Roman" w:cs="Times New Roman"/>
              <w:noProof/>
            </w:rPr>
            <w:t>(2014)</w:t>
          </w:r>
          <w:r w:rsidR="00D95FC1" w:rsidRPr="000D4A39">
            <w:rPr>
              <w:rFonts w:ascii="Times New Roman" w:hAnsi="Times New Roman" w:cs="Times New Roman"/>
            </w:rPr>
            <w:fldChar w:fldCharType="end"/>
          </w:r>
        </w:sdtContent>
      </w:sdt>
      <w:r w:rsidRPr="000D4A39">
        <w:rPr>
          <w:rFonts w:ascii="Times New Roman" w:hAnsi="Times New Roman" w:cs="Times New Roman"/>
        </w:rPr>
        <w:t xml:space="preserve"> </w:t>
      </w:r>
      <w:r w:rsidR="005B3ECD" w:rsidRPr="000D4A39">
        <w:rPr>
          <w:rFonts w:ascii="Times New Roman" w:hAnsi="Times New Roman" w:cs="Times New Roman"/>
        </w:rPr>
        <w:t>estudió</w:t>
      </w:r>
      <w:r w:rsidR="005B3ECD" w:rsidRPr="00E4375B">
        <w:rPr>
          <w:rFonts w:ascii="Times New Roman" w:hAnsi="Times New Roman" w:cs="Times New Roman"/>
        </w:rPr>
        <w:t xml:space="preserve"> los bancos que cotizaron en la bolsa de Varsovia durante el período 1998-2012</w:t>
      </w:r>
      <w:r w:rsidR="00EF37B1">
        <w:rPr>
          <w:rFonts w:ascii="Times New Roman" w:hAnsi="Times New Roman" w:cs="Times New Roman"/>
        </w:rPr>
        <w:t>.</w:t>
      </w:r>
      <w:r w:rsidR="008E5161" w:rsidRPr="00E4375B">
        <w:rPr>
          <w:rFonts w:ascii="Times New Roman" w:hAnsi="Times New Roman" w:cs="Times New Roman"/>
        </w:rPr>
        <w:t xml:space="preserve"> </w:t>
      </w:r>
      <w:r w:rsidR="000D4A39">
        <w:rPr>
          <w:rFonts w:ascii="Times New Roman" w:hAnsi="Times New Roman" w:cs="Times New Roman"/>
        </w:rPr>
        <w:t>El investigador</w:t>
      </w:r>
      <w:r w:rsidR="00EF37B1">
        <w:rPr>
          <w:rFonts w:ascii="Times New Roman" w:hAnsi="Times New Roman" w:cs="Times New Roman"/>
        </w:rPr>
        <w:t xml:space="preserve"> </w:t>
      </w:r>
      <w:r w:rsidR="000D4A39">
        <w:rPr>
          <w:rFonts w:ascii="Times New Roman" w:hAnsi="Times New Roman" w:cs="Times New Roman"/>
        </w:rPr>
        <w:t>concluyó</w:t>
      </w:r>
      <w:r w:rsidR="00690BD6" w:rsidRPr="00E4375B">
        <w:rPr>
          <w:rFonts w:ascii="Times New Roman" w:hAnsi="Times New Roman" w:cs="Times New Roman"/>
        </w:rPr>
        <w:t xml:space="preserve"> que con la introducción de las NIIF no se evidencian cambios estadísticamente significativos en la relevancia valorativa del valor de libros y las ganancias</w:t>
      </w:r>
      <w:r w:rsidR="00CE50C7" w:rsidRPr="00E4375B">
        <w:rPr>
          <w:rFonts w:ascii="Times New Roman" w:hAnsi="Times New Roman" w:cs="Times New Roman"/>
        </w:rPr>
        <w:t>, de manera tal que la calidad no se ve afectada por el cambio normativo.</w:t>
      </w:r>
      <w:r w:rsidR="00C454A3" w:rsidRPr="00E4375B">
        <w:rPr>
          <w:rFonts w:ascii="Times New Roman" w:hAnsi="Times New Roman" w:cs="Times New Roman"/>
        </w:rPr>
        <w:t xml:space="preserve"> Con relación al período de empleo de normativa local, las dos variables contables fundamentales son relevantes para los inversores.</w:t>
      </w:r>
    </w:p>
    <w:p w14:paraId="517EE8D1" w14:textId="37C97143" w:rsidR="005E089F" w:rsidRPr="00E4375B" w:rsidRDefault="00300BF1" w:rsidP="00A125DC">
      <w:pPr>
        <w:pStyle w:val="NormalWeb"/>
        <w:spacing w:before="0" w:beforeAutospacing="0" w:after="160" w:afterAutospacing="0" w:line="360" w:lineRule="auto"/>
        <w:jc w:val="both"/>
        <w:rPr>
          <w:color w:val="000000"/>
          <w:sz w:val="22"/>
          <w:szCs w:val="22"/>
          <w:lang w:val="es-419"/>
        </w:rPr>
      </w:pPr>
      <w:r w:rsidRPr="00E4375B">
        <w:rPr>
          <w:color w:val="000000"/>
          <w:sz w:val="22"/>
          <w:szCs w:val="22"/>
          <w:lang w:val="es-419"/>
        </w:rPr>
        <w:t>Esca</w:t>
      </w:r>
      <w:r w:rsidR="00033A60">
        <w:rPr>
          <w:color w:val="000000"/>
          <w:sz w:val="22"/>
          <w:szCs w:val="22"/>
          <w:lang w:val="es-419"/>
        </w:rPr>
        <w:t>s</w:t>
      </w:r>
      <w:r w:rsidRPr="00E4375B">
        <w:rPr>
          <w:color w:val="000000"/>
          <w:sz w:val="22"/>
          <w:szCs w:val="22"/>
          <w:lang w:val="es-419"/>
        </w:rPr>
        <w:t xml:space="preserve">a evidencia existe con relación a América Latina, </w:t>
      </w:r>
      <w:r w:rsidRPr="00E4375B">
        <w:rPr>
          <w:noProof/>
          <w:color w:val="000000"/>
          <w:sz w:val="22"/>
          <w:szCs w:val="22"/>
          <w:lang w:val="es-419"/>
        </w:rPr>
        <w:t>en este sentido</w:t>
      </w:r>
      <w:bookmarkStart w:id="1" w:name="_Hlk136349880"/>
      <w:r w:rsidR="00D95FC1">
        <w:rPr>
          <w:noProof/>
          <w:color w:val="000000"/>
          <w:sz w:val="22"/>
          <w:szCs w:val="22"/>
          <w:lang w:val="es-419"/>
        </w:rPr>
        <w:t xml:space="preserve"> Marques et al.</w:t>
      </w:r>
      <w:sdt>
        <w:sdtPr>
          <w:rPr>
            <w:noProof/>
            <w:color w:val="000000"/>
            <w:sz w:val="22"/>
            <w:szCs w:val="22"/>
            <w:lang w:val="es-419"/>
          </w:rPr>
          <w:id w:val="-1423632717"/>
          <w:citation/>
        </w:sdtPr>
        <w:sdtContent>
          <w:r w:rsidRPr="00E4375B">
            <w:rPr>
              <w:noProof/>
              <w:color w:val="000000"/>
              <w:sz w:val="22"/>
              <w:szCs w:val="22"/>
              <w:lang w:val="es-419"/>
            </w:rPr>
            <w:fldChar w:fldCharType="begin"/>
          </w:r>
          <w:r w:rsidR="00D95FC1">
            <w:rPr>
              <w:noProof/>
              <w:color w:val="000000"/>
              <w:sz w:val="22"/>
              <w:szCs w:val="22"/>
              <w:lang w:val="es-419"/>
            </w:rPr>
            <w:instrText xml:space="preserve">CITATION Mar22 \n  \t  \l 11274 </w:instrText>
          </w:r>
          <w:r w:rsidRPr="00E4375B">
            <w:rPr>
              <w:noProof/>
              <w:color w:val="000000"/>
              <w:sz w:val="22"/>
              <w:szCs w:val="22"/>
              <w:lang w:val="es-419"/>
            </w:rPr>
            <w:fldChar w:fldCharType="separate"/>
          </w:r>
          <w:r w:rsidR="00D95FC1">
            <w:rPr>
              <w:noProof/>
              <w:color w:val="000000"/>
              <w:sz w:val="22"/>
              <w:szCs w:val="22"/>
              <w:lang w:val="es-419"/>
            </w:rPr>
            <w:t xml:space="preserve"> </w:t>
          </w:r>
          <w:r w:rsidR="00D95FC1" w:rsidRPr="00D95FC1">
            <w:rPr>
              <w:noProof/>
              <w:color w:val="000000"/>
              <w:sz w:val="22"/>
              <w:szCs w:val="22"/>
              <w:lang w:val="es-419"/>
            </w:rPr>
            <w:t>(2022)</w:t>
          </w:r>
          <w:r w:rsidRPr="00E4375B">
            <w:rPr>
              <w:noProof/>
              <w:color w:val="000000"/>
              <w:sz w:val="22"/>
              <w:szCs w:val="22"/>
              <w:lang w:val="es-419"/>
            </w:rPr>
            <w:fldChar w:fldCharType="end"/>
          </w:r>
        </w:sdtContent>
      </w:sdt>
      <w:bookmarkEnd w:id="1"/>
      <w:r w:rsidRPr="00E4375B">
        <w:rPr>
          <w:noProof/>
          <w:color w:val="000000"/>
          <w:sz w:val="22"/>
          <w:szCs w:val="22"/>
          <w:lang w:val="es-419"/>
        </w:rPr>
        <w:t xml:space="preserve"> </w:t>
      </w:r>
      <w:r w:rsidRPr="00E4375B">
        <w:rPr>
          <w:color w:val="000000"/>
          <w:sz w:val="22"/>
          <w:szCs w:val="22"/>
          <w:lang w:val="es-419"/>
        </w:rPr>
        <w:t>estudiaron las entidades financieras de Brasil en el período 2010-2018</w:t>
      </w:r>
      <w:r w:rsidR="005E089F">
        <w:rPr>
          <w:color w:val="000000"/>
          <w:sz w:val="22"/>
          <w:szCs w:val="22"/>
          <w:lang w:val="es-419"/>
        </w:rPr>
        <w:t>. Los resultados de su análisis</w:t>
      </w:r>
      <w:r w:rsidR="005E089F" w:rsidRPr="00E4375B">
        <w:rPr>
          <w:color w:val="000000"/>
          <w:sz w:val="22"/>
          <w:szCs w:val="22"/>
          <w:lang w:val="es-419"/>
        </w:rPr>
        <w:t xml:space="preserve"> </w:t>
      </w:r>
      <w:r w:rsidR="005E089F">
        <w:rPr>
          <w:color w:val="000000"/>
          <w:sz w:val="22"/>
          <w:szCs w:val="22"/>
          <w:lang w:val="es-419"/>
        </w:rPr>
        <w:t>muestran que e</w:t>
      </w:r>
      <w:r w:rsidR="005E089F" w:rsidRPr="00E4375B">
        <w:rPr>
          <w:color w:val="000000"/>
          <w:sz w:val="22"/>
          <w:szCs w:val="22"/>
          <w:lang w:val="es-419"/>
        </w:rPr>
        <w:t xml:space="preserve">n la etapa de aplicación de las normas contables locales </w:t>
      </w:r>
      <w:r w:rsidR="000D4A39">
        <w:rPr>
          <w:color w:val="000000"/>
          <w:sz w:val="22"/>
          <w:szCs w:val="22"/>
          <w:lang w:val="es-419"/>
        </w:rPr>
        <w:t xml:space="preserve">el patrimonio neto y el resultado </w:t>
      </w:r>
      <w:r w:rsidR="005E089F" w:rsidRPr="00E4375B">
        <w:rPr>
          <w:color w:val="000000"/>
          <w:sz w:val="22"/>
          <w:szCs w:val="22"/>
          <w:lang w:val="es-419"/>
        </w:rPr>
        <w:t>son relevantes para el inversor siendo de mayor utilidad el valor en libros del patrimonio.</w:t>
      </w:r>
    </w:p>
    <w:p w14:paraId="1A931A4B" w14:textId="7A880166" w:rsidR="00300BF1" w:rsidRPr="00E4375B" w:rsidRDefault="005E089F" w:rsidP="00A125DC">
      <w:pPr>
        <w:pStyle w:val="NormalWeb"/>
        <w:spacing w:before="0" w:beforeAutospacing="0" w:after="160" w:afterAutospacing="0" w:line="360" w:lineRule="auto"/>
        <w:jc w:val="both"/>
        <w:rPr>
          <w:color w:val="000000"/>
          <w:sz w:val="22"/>
          <w:szCs w:val="22"/>
          <w:lang w:val="es-419"/>
        </w:rPr>
      </w:pPr>
      <w:r>
        <w:rPr>
          <w:color w:val="000000"/>
          <w:sz w:val="22"/>
          <w:szCs w:val="22"/>
          <w:lang w:val="es-419"/>
        </w:rPr>
        <w:lastRenderedPageBreak/>
        <w:t xml:space="preserve">Con la adopción de los estándares internacionales mejora la calidad de la información financiera y </w:t>
      </w:r>
      <w:r w:rsidR="00300BF1" w:rsidRPr="00E4375B">
        <w:rPr>
          <w:color w:val="000000"/>
          <w:sz w:val="22"/>
          <w:szCs w:val="22"/>
          <w:lang w:val="es-419"/>
        </w:rPr>
        <w:t xml:space="preserve">el valor contable del patrimonio </w:t>
      </w:r>
      <w:r>
        <w:rPr>
          <w:color w:val="000000"/>
          <w:sz w:val="22"/>
          <w:szCs w:val="22"/>
          <w:lang w:val="es-419"/>
        </w:rPr>
        <w:t xml:space="preserve">también en esta etapa es más valorado por los inversores. </w:t>
      </w:r>
    </w:p>
    <w:p w14:paraId="44879ECA" w14:textId="42BA87D2" w:rsidR="005E089F" w:rsidRPr="00E4375B" w:rsidRDefault="00300BF1" w:rsidP="00A125DC">
      <w:pPr>
        <w:pStyle w:val="NormalWeb"/>
        <w:spacing w:before="0" w:beforeAutospacing="0" w:after="160" w:afterAutospacing="0" w:line="360" w:lineRule="auto"/>
        <w:jc w:val="both"/>
        <w:rPr>
          <w:sz w:val="22"/>
          <w:szCs w:val="22"/>
          <w:lang w:val="es-ES"/>
        </w:rPr>
      </w:pPr>
      <w:r w:rsidRPr="00E4375B">
        <w:rPr>
          <w:color w:val="000000"/>
          <w:sz w:val="22"/>
          <w:szCs w:val="22"/>
          <w:lang w:val="es-419"/>
        </w:rPr>
        <w:t xml:space="preserve">Estos resultados no son corroborados por </w:t>
      </w:r>
      <w:bookmarkStart w:id="2" w:name="_Hlk136349944"/>
      <w:r w:rsidR="005E089F">
        <w:rPr>
          <w:color w:val="000000"/>
          <w:sz w:val="22"/>
          <w:szCs w:val="22"/>
          <w:lang w:val="es-419"/>
        </w:rPr>
        <w:t xml:space="preserve">Pacheco-Ortiz et al. </w:t>
      </w:r>
      <w:sdt>
        <w:sdtPr>
          <w:rPr>
            <w:color w:val="000000"/>
            <w:sz w:val="22"/>
            <w:szCs w:val="22"/>
            <w:lang w:val="es-419"/>
          </w:rPr>
          <w:id w:val="-1496412368"/>
          <w:citation/>
        </w:sdtPr>
        <w:sdtContent>
          <w:r w:rsidRPr="00E4375B">
            <w:rPr>
              <w:color w:val="000000"/>
              <w:sz w:val="22"/>
              <w:szCs w:val="22"/>
              <w:lang w:val="es-419"/>
            </w:rPr>
            <w:fldChar w:fldCharType="begin"/>
          </w:r>
          <w:r w:rsidR="005E089F">
            <w:rPr>
              <w:color w:val="000000"/>
              <w:sz w:val="22"/>
              <w:szCs w:val="22"/>
              <w:lang w:val="es-419"/>
            </w:rPr>
            <w:instrText xml:space="preserve">CITATION Pac21 \n  \t  \l 11274 </w:instrText>
          </w:r>
          <w:r w:rsidRPr="00E4375B">
            <w:rPr>
              <w:color w:val="000000"/>
              <w:sz w:val="22"/>
              <w:szCs w:val="22"/>
              <w:lang w:val="es-419"/>
            </w:rPr>
            <w:fldChar w:fldCharType="separate"/>
          </w:r>
          <w:r w:rsidR="005E089F" w:rsidRPr="005E089F">
            <w:rPr>
              <w:noProof/>
              <w:color w:val="000000"/>
              <w:sz w:val="22"/>
              <w:szCs w:val="22"/>
              <w:lang w:val="es-419"/>
            </w:rPr>
            <w:t>(2021)</w:t>
          </w:r>
          <w:r w:rsidRPr="00E4375B">
            <w:rPr>
              <w:color w:val="000000"/>
              <w:sz w:val="22"/>
              <w:szCs w:val="22"/>
              <w:lang w:val="es-419"/>
            </w:rPr>
            <w:fldChar w:fldCharType="end"/>
          </w:r>
        </w:sdtContent>
      </w:sdt>
      <w:bookmarkEnd w:id="2"/>
      <w:r w:rsidR="00DA03A0" w:rsidRPr="00E4375B">
        <w:rPr>
          <w:noProof/>
          <w:color w:val="000000"/>
          <w:sz w:val="22"/>
          <w:szCs w:val="22"/>
          <w:lang w:val="es-419"/>
        </w:rPr>
        <w:t xml:space="preserve"> </w:t>
      </w:r>
      <w:r w:rsidRPr="00E4375B">
        <w:rPr>
          <w:noProof/>
          <w:color w:val="000000"/>
          <w:sz w:val="22"/>
          <w:szCs w:val="22"/>
          <w:lang w:val="es-419"/>
        </w:rPr>
        <w:t>con relación a las instituciones financieras de Colombia, puesto que observan que la relelvancia para el valor no aumenta con la</w:t>
      </w:r>
      <w:r w:rsidRPr="00033A60">
        <w:rPr>
          <w:noProof/>
          <w:color w:val="000000"/>
          <w:sz w:val="22"/>
          <w:szCs w:val="22"/>
          <w:lang w:val="es-ES"/>
        </w:rPr>
        <w:t xml:space="preserve"> adopción de las NIIF, </w:t>
      </w:r>
      <w:r w:rsidR="005E089F" w:rsidRPr="00033A60">
        <w:rPr>
          <w:noProof/>
          <w:color w:val="000000"/>
          <w:sz w:val="22"/>
          <w:szCs w:val="22"/>
          <w:lang w:val="es-ES"/>
        </w:rPr>
        <w:t>pero son coincidentes en la etapa de empleo de la normativa local puesto que ambas variables contables son significativas y están relacionadas positivamente con el precio de cotización de las acciones.</w:t>
      </w:r>
    </w:p>
    <w:p w14:paraId="04D48FE9" w14:textId="5A67E106" w:rsidR="00300BF1" w:rsidRPr="00E4375B" w:rsidRDefault="00A125DC" w:rsidP="00A125DC">
      <w:pPr>
        <w:pStyle w:val="NormalWeb"/>
        <w:spacing w:before="0" w:beforeAutospacing="0" w:after="160" w:afterAutospacing="0" w:line="360" w:lineRule="auto"/>
        <w:jc w:val="both"/>
        <w:rPr>
          <w:sz w:val="22"/>
          <w:szCs w:val="22"/>
          <w:lang w:val="es-ES"/>
        </w:rPr>
      </w:pPr>
      <w:r w:rsidRPr="00033A60">
        <w:rPr>
          <w:noProof/>
          <w:color w:val="000000"/>
          <w:sz w:val="22"/>
          <w:szCs w:val="22"/>
          <w:lang w:val="es-ES"/>
        </w:rPr>
        <w:t>De esta manera, la evidencia resultante de las investigaciones previas arroja resultados mixtos tanto en la etapa de utilización de la normativa local para la elaboración de la información financiera como en el período de empleo de las NIIF.</w:t>
      </w:r>
    </w:p>
    <w:p w14:paraId="1AF4C05E" w14:textId="0ABD280E" w:rsidR="003079FB" w:rsidRPr="00E4375B" w:rsidRDefault="00690BD6" w:rsidP="00E4375B">
      <w:pPr>
        <w:spacing w:line="360" w:lineRule="auto"/>
        <w:jc w:val="both"/>
        <w:rPr>
          <w:rFonts w:ascii="Times New Roman" w:hAnsi="Times New Roman" w:cs="Times New Roman"/>
          <w:u w:val="single"/>
        </w:rPr>
      </w:pPr>
      <w:r w:rsidRPr="00E4375B">
        <w:rPr>
          <w:rFonts w:ascii="Times New Roman" w:hAnsi="Times New Roman" w:cs="Times New Roman"/>
        </w:rPr>
        <w:t xml:space="preserve"> </w:t>
      </w:r>
      <w:r w:rsidR="003079FB" w:rsidRPr="00E4375B">
        <w:rPr>
          <w:rFonts w:ascii="Times New Roman" w:hAnsi="Times New Roman" w:cs="Times New Roman"/>
          <w:u w:val="single"/>
        </w:rPr>
        <w:t>Objetivo</w:t>
      </w:r>
    </w:p>
    <w:p w14:paraId="1C65AC33" w14:textId="46868AD3" w:rsidR="00A614B5" w:rsidRPr="00E4375B" w:rsidRDefault="00A614B5" w:rsidP="00E4375B">
      <w:pPr>
        <w:spacing w:line="360" w:lineRule="auto"/>
        <w:jc w:val="both"/>
        <w:rPr>
          <w:rFonts w:ascii="Times New Roman" w:hAnsi="Times New Roman" w:cs="Times New Roman"/>
        </w:rPr>
      </w:pPr>
      <w:r w:rsidRPr="00E4375B">
        <w:rPr>
          <w:rFonts w:ascii="Times New Roman" w:hAnsi="Times New Roman" w:cs="Times New Roman"/>
        </w:rPr>
        <w:t>El presente estudio tiene como objetivo:</w:t>
      </w:r>
    </w:p>
    <w:p w14:paraId="4E27AC95" w14:textId="563B577D" w:rsidR="00314945" w:rsidRPr="00E4375B" w:rsidRDefault="000D4A39" w:rsidP="00E4375B">
      <w:pPr>
        <w:tabs>
          <w:tab w:val="left" w:pos="2865"/>
        </w:tabs>
        <w:spacing w:line="360" w:lineRule="auto"/>
        <w:jc w:val="both"/>
        <w:rPr>
          <w:rFonts w:ascii="Times New Roman" w:hAnsi="Times New Roman" w:cs="Times New Roman"/>
        </w:rPr>
      </w:pPr>
      <w:r>
        <w:rPr>
          <w:rFonts w:ascii="Times New Roman" w:hAnsi="Times New Roman" w:cs="Times New Roman"/>
        </w:rPr>
        <w:t>a</w:t>
      </w:r>
      <w:r w:rsidR="00394A65" w:rsidRPr="00E4375B">
        <w:rPr>
          <w:rFonts w:ascii="Times New Roman" w:hAnsi="Times New Roman" w:cs="Times New Roman"/>
        </w:rPr>
        <w:t>nalizar la calidad de la información financiera de las empresas del sector bancario cotizantes en Argentina en el período previo a la adopción de las NIIF.</w:t>
      </w:r>
    </w:p>
    <w:p w14:paraId="06550E9A" w14:textId="7256FC53" w:rsidR="00263000" w:rsidRPr="00E4375B" w:rsidRDefault="00394A65" w:rsidP="00E4375B">
      <w:pPr>
        <w:tabs>
          <w:tab w:val="left" w:pos="2865"/>
        </w:tabs>
        <w:spacing w:line="360" w:lineRule="auto"/>
        <w:jc w:val="both"/>
        <w:rPr>
          <w:rFonts w:ascii="Times New Roman" w:hAnsi="Times New Roman" w:cs="Times New Roman"/>
          <w:u w:val="single"/>
        </w:rPr>
      </w:pPr>
      <w:r w:rsidRPr="00E4375B">
        <w:rPr>
          <w:rFonts w:ascii="Times New Roman" w:hAnsi="Times New Roman" w:cs="Times New Roman"/>
          <w:u w:val="single"/>
        </w:rPr>
        <w:t>Hipótesis</w:t>
      </w:r>
    </w:p>
    <w:p w14:paraId="7967619F" w14:textId="639F3DF8" w:rsidR="0017204D" w:rsidRPr="000D4A39" w:rsidRDefault="0017204D" w:rsidP="00E4375B">
      <w:pPr>
        <w:tabs>
          <w:tab w:val="left" w:pos="2865"/>
        </w:tabs>
        <w:spacing w:line="360" w:lineRule="auto"/>
        <w:jc w:val="both"/>
        <w:rPr>
          <w:rFonts w:ascii="Times New Roman" w:hAnsi="Times New Roman" w:cs="Times New Roman"/>
        </w:rPr>
      </w:pPr>
      <w:r w:rsidRPr="000D4A39">
        <w:rPr>
          <w:rFonts w:ascii="Times New Roman" w:hAnsi="Times New Roman" w:cs="Times New Roman"/>
        </w:rPr>
        <w:t>A los fines de arribar al objetivo explicitado precedentemente se plantean las hipótesis que se enuncian a continuación:</w:t>
      </w:r>
    </w:p>
    <w:p w14:paraId="2713ACE1" w14:textId="5A77DABB" w:rsidR="0017204D" w:rsidRPr="000D4A39" w:rsidRDefault="0017204D" w:rsidP="00E4375B">
      <w:pPr>
        <w:shd w:val="clear" w:color="auto" w:fill="FFFFFF"/>
        <w:spacing w:line="360" w:lineRule="auto"/>
        <w:jc w:val="both"/>
        <w:rPr>
          <w:rFonts w:ascii="Times New Roman" w:eastAsia="Times New Roman" w:hAnsi="Times New Roman" w:cs="Times New Roman"/>
          <w:color w:val="000000"/>
          <w:lang w:val="es-419"/>
        </w:rPr>
      </w:pPr>
      <w:r w:rsidRPr="000D4A39">
        <w:rPr>
          <w:rFonts w:ascii="Times New Roman" w:eastAsia="Times New Roman" w:hAnsi="Times New Roman" w:cs="Times New Roman"/>
          <w:color w:val="000000"/>
          <w:lang w:val="es-419"/>
        </w:rPr>
        <w:t>H</w:t>
      </w:r>
      <w:r w:rsidRPr="000D4A39">
        <w:rPr>
          <w:rFonts w:ascii="Times New Roman" w:eastAsia="Times New Roman" w:hAnsi="Times New Roman" w:cs="Times New Roman"/>
          <w:color w:val="000000"/>
          <w:vertAlign w:val="subscript"/>
          <w:lang w:val="es-419"/>
        </w:rPr>
        <w:t>1</w:t>
      </w:r>
      <w:r w:rsidRPr="000D4A39">
        <w:rPr>
          <w:rFonts w:ascii="Times New Roman" w:eastAsia="Times New Roman" w:hAnsi="Times New Roman" w:cs="Times New Roman"/>
          <w:color w:val="000000"/>
          <w:lang w:val="es-419"/>
        </w:rPr>
        <w:t>: El patrimonio neto de los bancos cotizantes en el mercado de valores de Argentina posee relevancia valorativa en el período previo a la adopción de las NIIF.</w:t>
      </w:r>
    </w:p>
    <w:p w14:paraId="2A532F96" w14:textId="4EA0B3E9" w:rsidR="0017204D" w:rsidRPr="00E4375B" w:rsidRDefault="0017204D" w:rsidP="00E4375B">
      <w:pPr>
        <w:shd w:val="clear" w:color="auto" w:fill="FFFFFF"/>
        <w:spacing w:line="360" w:lineRule="auto"/>
        <w:jc w:val="both"/>
        <w:rPr>
          <w:rFonts w:ascii="Times New Roman" w:hAnsi="Times New Roman" w:cs="Times New Roman"/>
        </w:rPr>
      </w:pPr>
      <w:r w:rsidRPr="000D4A39">
        <w:rPr>
          <w:rFonts w:ascii="Times New Roman" w:hAnsi="Times New Roman" w:cs="Times New Roman"/>
        </w:rPr>
        <w:t>H</w:t>
      </w:r>
      <w:r w:rsidRPr="000D4A39">
        <w:rPr>
          <w:rFonts w:ascii="Times New Roman" w:hAnsi="Times New Roman" w:cs="Times New Roman"/>
          <w:vertAlign w:val="subscript"/>
        </w:rPr>
        <w:t>2</w:t>
      </w:r>
      <w:r w:rsidRPr="000D4A39">
        <w:rPr>
          <w:rFonts w:ascii="Times New Roman" w:hAnsi="Times New Roman" w:cs="Times New Roman"/>
        </w:rPr>
        <w:t xml:space="preserve">: </w:t>
      </w:r>
      <w:r w:rsidR="000D4A39">
        <w:rPr>
          <w:rFonts w:ascii="Times New Roman" w:hAnsi="Times New Roman" w:cs="Times New Roman"/>
        </w:rPr>
        <w:t xml:space="preserve">El resultado del ejercicio de </w:t>
      </w:r>
      <w:r w:rsidRPr="000D4A39">
        <w:rPr>
          <w:rFonts w:ascii="Times New Roman" w:hAnsi="Times New Roman" w:cs="Times New Roman"/>
        </w:rPr>
        <w:t>los bancos</w:t>
      </w:r>
      <w:r w:rsidRPr="00E4375B">
        <w:rPr>
          <w:rFonts w:ascii="Times New Roman" w:hAnsi="Times New Roman" w:cs="Times New Roman"/>
        </w:rPr>
        <w:t xml:space="preserve"> cotizantes en el mercado de valores de Argentina posee relevancia valorativa en el período previo a la adopción de las NIIF.</w:t>
      </w:r>
    </w:p>
    <w:p w14:paraId="34B631BC" w14:textId="34495C52" w:rsidR="00307E1A" w:rsidRPr="00E4375B" w:rsidRDefault="009B7461" w:rsidP="00E4375B">
      <w:pPr>
        <w:spacing w:line="360" w:lineRule="auto"/>
        <w:jc w:val="both"/>
        <w:rPr>
          <w:rFonts w:ascii="Times New Roman" w:hAnsi="Times New Roman" w:cs="Times New Roman"/>
          <w:u w:val="single"/>
        </w:rPr>
      </w:pPr>
      <w:r w:rsidRPr="00E4375B">
        <w:rPr>
          <w:rFonts w:ascii="Times New Roman" w:hAnsi="Times New Roman" w:cs="Times New Roman"/>
          <w:u w:val="single"/>
        </w:rPr>
        <w:t>Metodología</w:t>
      </w:r>
    </w:p>
    <w:p w14:paraId="6F27F904" w14:textId="5F758098" w:rsidR="004E11F0" w:rsidRPr="00E4375B" w:rsidRDefault="004E11F0" w:rsidP="00E4375B">
      <w:pPr>
        <w:spacing w:line="360" w:lineRule="auto"/>
        <w:jc w:val="both"/>
        <w:rPr>
          <w:rFonts w:ascii="Times New Roman" w:hAnsi="Times New Roman" w:cs="Times New Roman"/>
          <w:u w:val="single"/>
        </w:rPr>
      </w:pPr>
      <w:r w:rsidRPr="00E4375B">
        <w:rPr>
          <w:rFonts w:ascii="Times New Roman" w:hAnsi="Times New Roman" w:cs="Times New Roman"/>
          <w:u w:val="single"/>
        </w:rPr>
        <w:t>Espacio Temporal y Muestra</w:t>
      </w:r>
    </w:p>
    <w:p w14:paraId="09D6A218" w14:textId="79C0D035" w:rsidR="003D2923" w:rsidRPr="00E4375B" w:rsidRDefault="003D2923" w:rsidP="00E4375B">
      <w:pPr>
        <w:shd w:val="clear" w:color="auto" w:fill="FFFFFF"/>
        <w:spacing w:line="360" w:lineRule="auto"/>
        <w:jc w:val="both"/>
        <w:rPr>
          <w:rFonts w:ascii="Times New Roman" w:hAnsi="Times New Roman" w:cs="Times New Roman"/>
        </w:rPr>
      </w:pPr>
      <w:r w:rsidRPr="00E4375B">
        <w:rPr>
          <w:rFonts w:ascii="Times New Roman" w:hAnsi="Times New Roman" w:cs="Times New Roman"/>
        </w:rPr>
        <w:t>La presente investigación estudiará a las instituciones financieras cotizantes en el mercado de valores de Argentina en el período 200</w:t>
      </w:r>
      <w:r w:rsidR="00EA0CF0">
        <w:rPr>
          <w:rFonts w:ascii="Times New Roman" w:hAnsi="Times New Roman" w:cs="Times New Roman"/>
        </w:rPr>
        <w:t>4</w:t>
      </w:r>
      <w:r w:rsidRPr="00E4375B">
        <w:rPr>
          <w:rFonts w:ascii="Times New Roman" w:hAnsi="Times New Roman" w:cs="Times New Roman"/>
        </w:rPr>
        <w:t>-2017. Este espacio temporal fue seleccionado en atención al cumplimiento del objetivo que apunta a evaluar la calidad de la información financiera en el período de empleo de las normas contables locales.</w:t>
      </w:r>
    </w:p>
    <w:p w14:paraId="5C61C670" w14:textId="77777777" w:rsidR="003D2923" w:rsidRPr="00E4375B" w:rsidRDefault="003D2923" w:rsidP="00E4375B">
      <w:pPr>
        <w:shd w:val="clear" w:color="auto" w:fill="FFFFFF"/>
        <w:spacing w:line="360" w:lineRule="auto"/>
        <w:jc w:val="both"/>
        <w:rPr>
          <w:rFonts w:ascii="Times New Roman" w:hAnsi="Times New Roman" w:cs="Times New Roman"/>
        </w:rPr>
      </w:pPr>
      <w:r w:rsidRPr="00E4375B">
        <w:rPr>
          <w:rFonts w:ascii="Times New Roman" w:hAnsi="Times New Roman" w:cs="Times New Roman"/>
        </w:rPr>
        <w:t xml:space="preserve">En este sentido, se consideró que, en 2003 mediante la resolución Nº434 la CNV adopta las normas contenidas en las RT Nº16 a 20 del CPCECABA, obligando a su empleo a las emisoras que se encuentren en el régimen de oferta pública de sus títulos desde los ejercicios iniciados a partir del 1º de enero de 2003. </w:t>
      </w:r>
    </w:p>
    <w:p w14:paraId="103BB13F" w14:textId="7C9F103F" w:rsidR="003D2923" w:rsidRPr="00E4375B" w:rsidRDefault="003D2923" w:rsidP="00E4375B">
      <w:pPr>
        <w:shd w:val="clear" w:color="auto" w:fill="FFFFFF"/>
        <w:spacing w:line="360" w:lineRule="auto"/>
        <w:jc w:val="both"/>
        <w:rPr>
          <w:rFonts w:ascii="Times New Roman" w:hAnsi="Times New Roman" w:cs="Times New Roman"/>
        </w:rPr>
      </w:pPr>
      <w:r w:rsidRPr="00E4375B">
        <w:rPr>
          <w:rFonts w:ascii="Times New Roman" w:hAnsi="Times New Roman" w:cs="Times New Roman"/>
        </w:rPr>
        <w:lastRenderedPageBreak/>
        <w:t xml:space="preserve">Por otra parte, se tuvo en cuenta que </w:t>
      </w:r>
      <w:r w:rsidR="007D72AD" w:rsidRPr="00E4375B">
        <w:rPr>
          <w:rFonts w:ascii="Times New Roman" w:hAnsi="Times New Roman" w:cs="Times New Roman"/>
        </w:rPr>
        <w:t>para las entidades financieras el Banco Central de la República Argentina con la Comunicación “A” 5541 de fecha 12 de febrero de 2014 estableció la convergencia hacia NIIF de los ejercicios anuales iniciados a partir del 01 de enero de 2018.</w:t>
      </w:r>
    </w:p>
    <w:p w14:paraId="5587F8D4" w14:textId="57B94528" w:rsidR="003D2923" w:rsidRPr="00E4375B" w:rsidRDefault="00F20335" w:rsidP="00E4375B">
      <w:pPr>
        <w:shd w:val="clear" w:color="auto" w:fill="FFFFFF"/>
        <w:spacing w:line="360" w:lineRule="auto"/>
        <w:jc w:val="both"/>
        <w:rPr>
          <w:rFonts w:ascii="Times New Roman" w:hAnsi="Times New Roman" w:cs="Times New Roman"/>
        </w:rPr>
      </w:pPr>
      <w:r w:rsidRPr="00E4375B">
        <w:rPr>
          <w:rFonts w:ascii="Times New Roman" w:hAnsi="Times New Roman" w:cs="Times New Roman"/>
        </w:rPr>
        <w:t xml:space="preserve">La muestra objeto de estudio se conformó con los bancos que operaron en el mercado de valores de Argentina en el período 2004-2017 y </w:t>
      </w:r>
      <w:r w:rsidR="000D4A39">
        <w:rPr>
          <w:rFonts w:ascii="Times New Roman" w:hAnsi="Times New Roman" w:cs="Times New Roman"/>
        </w:rPr>
        <w:t xml:space="preserve">que </w:t>
      </w:r>
      <w:r w:rsidRPr="00E4375B">
        <w:rPr>
          <w:rFonts w:ascii="Times New Roman" w:hAnsi="Times New Roman" w:cs="Times New Roman"/>
        </w:rPr>
        <w:t xml:space="preserve">se mantuvieron con presencia bursátil </w:t>
      </w:r>
      <w:r w:rsidRPr="000D4A39">
        <w:rPr>
          <w:rFonts w:ascii="Times New Roman" w:hAnsi="Times New Roman" w:cs="Times New Roman"/>
        </w:rPr>
        <w:t>en la etapa de empleo de la normativa local.</w:t>
      </w:r>
    </w:p>
    <w:p w14:paraId="7745A47A" w14:textId="3E5275DD" w:rsidR="004E11F0" w:rsidRPr="00E4375B" w:rsidRDefault="005A4448" w:rsidP="00E4375B">
      <w:pPr>
        <w:spacing w:line="360" w:lineRule="auto"/>
        <w:jc w:val="both"/>
        <w:rPr>
          <w:rFonts w:ascii="Times New Roman" w:hAnsi="Times New Roman" w:cs="Times New Roman"/>
          <w:u w:val="single"/>
        </w:rPr>
      </w:pPr>
      <w:r w:rsidRPr="00E4375B">
        <w:rPr>
          <w:rFonts w:ascii="Times New Roman" w:hAnsi="Times New Roman" w:cs="Times New Roman"/>
          <w:u w:val="single"/>
        </w:rPr>
        <w:t>Tipo de Estudio y Modelo</w:t>
      </w:r>
    </w:p>
    <w:p w14:paraId="081B27D5" w14:textId="50FB2414" w:rsidR="00307E1A" w:rsidRPr="00E4375B" w:rsidRDefault="00307E1A" w:rsidP="00E4375B">
      <w:pPr>
        <w:spacing w:line="360" w:lineRule="auto"/>
        <w:jc w:val="both"/>
        <w:rPr>
          <w:rFonts w:ascii="Times New Roman" w:hAnsi="Times New Roman" w:cs="Times New Roman"/>
        </w:rPr>
      </w:pPr>
      <w:r w:rsidRPr="00E4375B">
        <w:rPr>
          <w:rFonts w:ascii="Times New Roman" w:hAnsi="Times New Roman" w:cs="Times New Roman"/>
        </w:rPr>
        <w:t xml:space="preserve">A los fines de analizar la calidad de las cifras contables de las empresas cotizantes del sector bancario de Argentina se procedió </w:t>
      </w:r>
      <w:r w:rsidR="00954BB7" w:rsidRPr="00E4375B">
        <w:rPr>
          <w:rFonts w:ascii="Times New Roman" w:hAnsi="Times New Roman" w:cs="Times New Roman"/>
        </w:rPr>
        <w:t>a realizar en primer lugar el análisis descriptivo de las variables intervinientes en el modelo; a continuación, se estimó un model</w:t>
      </w:r>
      <w:r w:rsidR="00F650D7" w:rsidRPr="00E4375B">
        <w:rPr>
          <w:rFonts w:ascii="Times New Roman" w:hAnsi="Times New Roman" w:cs="Times New Roman"/>
        </w:rPr>
        <w:t>o para datos de panel</w:t>
      </w:r>
      <w:r w:rsidR="0009222E" w:rsidRPr="00E4375B">
        <w:rPr>
          <w:rFonts w:ascii="Times New Roman" w:hAnsi="Times New Roman" w:cs="Times New Roman"/>
        </w:rPr>
        <w:t>.</w:t>
      </w:r>
    </w:p>
    <w:p w14:paraId="05FAC9F1" w14:textId="5083097F" w:rsidR="005A78B9" w:rsidRPr="00E4375B" w:rsidRDefault="00307E1A" w:rsidP="00E4375B">
      <w:pPr>
        <w:spacing w:line="360" w:lineRule="auto"/>
        <w:jc w:val="both"/>
        <w:rPr>
          <w:rFonts w:ascii="Times New Roman" w:hAnsi="Times New Roman" w:cs="Times New Roman"/>
        </w:rPr>
      </w:pPr>
      <w:r w:rsidRPr="00E4375B">
        <w:rPr>
          <w:rFonts w:ascii="Times New Roman" w:hAnsi="Times New Roman" w:cs="Times New Roman"/>
        </w:rPr>
        <w:t>Se utiliz</w:t>
      </w:r>
      <w:r w:rsidR="003F72FF" w:rsidRPr="00E4375B">
        <w:rPr>
          <w:rFonts w:ascii="Times New Roman" w:hAnsi="Times New Roman" w:cs="Times New Roman"/>
        </w:rPr>
        <w:t>ó</w:t>
      </w:r>
      <w:r w:rsidRPr="00E4375B">
        <w:rPr>
          <w:rFonts w:ascii="Times New Roman" w:hAnsi="Times New Roman" w:cs="Times New Roman"/>
        </w:rPr>
        <w:t xml:space="preserve"> la siguiente especificación del modelo</w:t>
      </w:r>
      <w:r w:rsidR="005A78B9" w:rsidRPr="00E4375B">
        <w:rPr>
          <w:rFonts w:ascii="Times New Roman" w:hAnsi="Times New Roman" w:cs="Times New Roman"/>
        </w:rPr>
        <w:t xml:space="preserve"> </w:t>
      </w:r>
      <w:r w:rsidR="00EC4A1B" w:rsidRPr="00E4375B">
        <w:rPr>
          <w:rFonts w:ascii="Times New Roman" w:hAnsi="Times New Roman" w:cs="Times New Roman"/>
        </w:rPr>
        <w:t xml:space="preserve">I </w:t>
      </w:r>
      <w:r w:rsidR="005A78B9" w:rsidRPr="00E4375B">
        <w:rPr>
          <w:rFonts w:ascii="Times New Roman" w:hAnsi="Times New Roman" w:cs="Times New Roman"/>
        </w:rPr>
        <w:t>para contrastar las hipótesis H</w:t>
      </w:r>
      <w:r w:rsidR="005A78B9" w:rsidRPr="00E4375B">
        <w:rPr>
          <w:rFonts w:ascii="Times New Roman" w:hAnsi="Times New Roman" w:cs="Times New Roman"/>
          <w:vertAlign w:val="subscript"/>
        </w:rPr>
        <w:t>1</w:t>
      </w:r>
      <w:r w:rsidR="005A78B9" w:rsidRPr="00E4375B">
        <w:rPr>
          <w:rFonts w:ascii="Times New Roman" w:hAnsi="Times New Roman" w:cs="Times New Roman"/>
        </w:rPr>
        <w:t>, H</w:t>
      </w:r>
      <w:r w:rsidR="005A78B9" w:rsidRPr="00E4375B">
        <w:rPr>
          <w:rFonts w:ascii="Times New Roman" w:hAnsi="Times New Roman" w:cs="Times New Roman"/>
          <w:vertAlign w:val="subscript"/>
        </w:rPr>
        <w:t>2</w:t>
      </w:r>
      <w:r w:rsidR="005A78B9" w:rsidRPr="00E4375B">
        <w:rPr>
          <w:rFonts w:ascii="Times New Roman" w:hAnsi="Times New Roman" w:cs="Times New Roman"/>
        </w:rPr>
        <w:t>:</w:t>
      </w:r>
    </w:p>
    <w:p w14:paraId="0121CB3E" w14:textId="42FB3C8F" w:rsidR="005A78B9" w:rsidRPr="00033A60" w:rsidRDefault="00000000" w:rsidP="00E4375B">
      <w:pPr>
        <w:spacing w:after="120" w:line="360" w:lineRule="auto"/>
        <w:ind w:firstLine="708"/>
        <w:jc w:val="center"/>
        <w:rPr>
          <w:rFonts w:ascii="Times New Roman" w:hAnsi="Times New Roman" w:cs="Times New Roman"/>
          <w:lang w:val="en-US"/>
        </w:rPr>
      </w:pPr>
      <m:oMath>
        <m:sSub>
          <m:sSubPr>
            <m:ctrlPr>
              <w:rPr>
                <w:rFonts w:ascii="Cambria Math" w:hAnsi="Cambria Math" w:cs="Times New Roman"/>
              </w:rPr>
            </m:ctrlPr>
          </m:sSubPr>
          <m:e>
            <m:sSub>
              <m:sSubPr>
                <m:ctrlPr>
                  <w:rPr>
                    <w:rFonts w:ascii="Cambria Math" w:hAnsi="Cambria Math" w:cs="Times New Roman"/>
                  </w:rPr>
                </m:ctrlPr>
              </m:sSubPr>
              <m:e>
                <m:r>
                  <w:rPr>
                    <w:rFonts w:ascii="Cambria Math" w:hAnsi="Cambria Math" w:cs="Times New Roman"/>
                  </w:rPr>
                  <m:t>LnP</m:t>
                </m:r>
              </m:e>
              <m:sub>
                <m:r>
                  <w:rPr>
                    <w:rFonts w:ascii="Cambria Math" w:hAnsi="Cambria Math" w:cs="Times New Roman"/>
                  </w:rPr>
                  <m:t>ij</m:t>
                </m:r>
              </m:sub>
            </m:sSub>
            <m:r>
              <m:rPr>
                <m:sty m:val="p"/>
              </m:rPr>
              <w:rPr>
                <w:rFonts w:ascii="Cambria Math" w:hAnsi="Cambria Math" w:cs="Times New Roman"/>
                <w:lang w:val="en-US"/>
              </w:rPr>
              <m:t xml:space="preserve"> =</m:t>
            </m:r>
            <m:sSub>
              <m:sSubPr>
                <m:ctrlPr>
                  <w:rPr>
                    <w:rFonts w:ascii="Cambria Math" w:hAnsi="Cambria Math" w:cs="Times New Roman"/>
                  </w:rPr>
                </m:ctrlPr>
              </m:sSubPr>
              <m:e>
                <m:r>
                  <w:rPr>
                    <w:rFonts w:ascii="Cambria Math" w:hAnsi="Cambria Math" w:cs="Times New Roman"/>
                  </w:rPr>
                  <m:t>α</m:t>
                </m:r>
              </m:e>
              <m:sub>
                <m:r>
                  <m:rPr>
                    <m:sty m:val="p"/>
                  </m:rPr>
                  <w:rPr>
                    <w:rFonts w:ascii="Cambria Math" w:hAnsi="Cambria Math" w:cs="Times New Roman"/>
                    <w:lang w:val="en-US"/>
                  </w:rPr>
                  <m:t>1</m:t>
                </m:r>
              </m:sub>
            </m:sSub>
            <m:r>
              <m:rPr>
                <m:sty m:val="p"/>
              </m:rPr>
              <w:rPr>
                <w:rFonts w:ascii="Cambria Math" w:hAnsi="Cambria Math" w:cs="Times New Roman"/>
                <w:lang w:val="en-US"/>
              </w:rPr>
              <m:t xml:space="preserve"> ++</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lang w:val="en-US"/>
                  </w:rPr>
                  <m:t>1</m:t>
                </m:r>
              </m:sub>
            </m:sSub>
            <m:r>
              <m:rPr>
                <m:sty m:val="p"/>
              </m:rPr>
              <w:rPr>
                <w:rFonts w:ascii="Cambria Math" w:hAnsi="Cambria Math" w:cs="Times New Roman"/>
                <w:lang w:val="en-US"/>
              </w:rPr>
              <m:t xml:space="preserve">  </m:t>
            </m:r>
            <m:sSub>
              <m:sSubPr>
                <m:ctrlPr>
                  <w:rPr>
                    <w:rFonts w:ascii="Cambria Math" w:hAnsi="Cambria Math" w:cs="Times New Roman"/>
                  </w:rPr>
                </m:ctrlPr>
              </m:sSubPr>
              <m:e>
                <m:r>
                  <w:rPr>
                    <w:rFonts w:ascii="Cambria Math" w:hAnsi="Cambria Math" w:cs="Times New Roman"/>
                  </w:rPr>
                  <m:t>PN</m:t>
                </m:r>
              </m:e>
              <m:sub>
                <m:r>
                  <w:rPr>
                    <w:rFonts w:ascii="Cambria Math" w:hAnsi="Cambria Math" w:cs="Times New Roman"/>
                  </w:rPr>
                  <m:t>ij</m:t>
                </m:r>
              </m:sub>
            </m:sSub>
            <m:r>
              <m:rPr>
                <m:sty m:val="p"/>
              </m:rPr>
              <w:rPr>
                <w:rFonts w:ascii="Cambria Math" w:hAnsi="Cambria Math" w:cs="Times New Roman"/>
                <w:lang w:val="en-US"/>
              </w:rPr>
              <m:t xml:space="preserve"> + + </m:t>
            </m:r>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lang w:val="en-US"/>
                  </w:rPr>
                  <m:t>2</m:t>
                </m:r>
              </m:sub>
            </m:sSub>
            <m:r>
              <m:rPr>
                <m:sty m:val="p"/>
              </m:rPr>
              <w:rPr>
                <w:rFonts w:ascii="Cambria Math" w:hAnsi="Cambria Math" w:cs="Times New Roman"/>
                <w:lang w:val="en-US"/>
              </w:rPr>
              <m:t xml:space="preserve"> </m:t>
            </m:r>
            <m:sSub>
              <m:sSubPr>
                <m:ctrlPr>
                  <w:rPr>
                    <w:rFonts w:ascii="Cambria Math" w:hAnsi="Cambria Math" w:cs="Times New Roman"/>
                  </w:rPr>
                </m:ctrlPr>
              </m:sSubPr>
              <m:e>
                <m:r>
                  <w:rPr>
                    <w:rFonts w:ascii="Cambria Math" w:hAnsi="Cambria Math" w:cs="Times New Roman"/>
                  </w:rPr>
                  <m:t>Rdo</m:t>
                </m:r>
              </m:e>
              <m:sub>
                <m:r>
                  <w:rPr>
                    <w:rFonts w:ascii="Cambria Math" w:hAnsi="Cambria Math" w:cs="Times New Roman"/>
                  </w:rPr>
                  <m:t>ij</m:t>
                </m:r>
              </m:sub>
            </m:sSub>
            <m:r>
              <m:rPr>
                <m:sty m:val="p"/>
              </m:rPr>
              <w:rPr>
                <w:rFonts w:ascii="Cambria Math" w:hAnsi="Cambria Math" w:cs="Times New Roman"/>
                <w:lang w:val="en-US"/>
              </w:rPr>
              <m:t xml:space="preserve">  + </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j</m:t>
                </m:r>
                <m:r>
                  <m:rPr>
                    <m:sty m:val="p"/>
                  </m:rPr>
                  <w:rPr>
                    <w:rFonts w:ascii="Cambria Math" w:hAnsi="Cambria Math" w:cs="Times New Roman"/>
                    <w:lang w:val="en-US"/>
                  </w:rPr>
                  <m:t xml:space="preserve"> </m:t>
                </m:r>
              </m:sub>
            </m:sSub>
            <m:r>
              <m:rPr>
                <m:sty m:val="p"/>
              </m:rPr>
              <w:rPr>
                <w:rFonts w:ascii="Cambria Math" w:hAnsi="Cambria Math" w:cs="Times New Roman"/>
                <w:lang w:val="en-US"/>
              </w:rPr>
              <m:t xml:space="preserve">+  </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ij</m:t>
                </m:r>
              </m:sub>
            </m:sSub>
            <m:r>
              <m:rPr>
                <m:sty m:val="p"/>
              </m:rPr>
              <w:rPr>
                <w:rFonts w:ascii="Cambria Math" w:hAnsi="Cambria Math" w:cs="Times New Roman"/>
                <w:lang w:val="en-US"/>
              </w:rPr>
              <m:t xml:space="preserve"> </m:t>
            </m:r>
          </m:e>
          <m:sub/>
        </m:sSub>
      </m:oMath>
      <w:r w:rsidR="00EC4A1B" w:rsidRPr="00033A60">
        <w:rPr>
          <w:rFonts w:ascii="Times New Roman" w:eastAsiaTheme="minorEastAsia" w:hAnsi="Times New Roman" w:cs="Times New Roman"/>
          <w:lang w:val="en-US"/>
        </w:rPr>
        <w:t xml:space="preserve"> (I)</w:t>
      </w:r>
    </w:p>
    <w:p w14:paraId="08C5C341" w14:textId="2FD0D40B" w:rsidR="00307E1A" w:rsidRPr="00E4375B" w:rsidRDefault="005A78B9" w:rsidP="00E4375B">
      <w:pPr>
        <w:spacing w:after="120" w:line="360" w:lineRule="auto"/>
        <w:rPr>
          <w:rFonts w:ascii="Times New Roman" w:hAnsi="Times New Roman" w:cs="Times New Roman"/>
        </w:rPr>
      </w:pPr>
      <w:r w:rsidRPr="00E4375B">
        <w:rPr>
          <w:rFonts w:ascii="Times New Roman" w:hAnsi="Times New Roman" w:cs="Times New Roman"/>
        </w:rPr>
        <w:t xml:space="preserve">donde,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j</m:t>
            </m:r>
            <m:r>
              <m:rPr>
                <m:sty m:val="p"/>
              </m:rPr>
              <w:rPr>
                <w:rFonts w:ascii="Cambria Math" w:hAnsi="Cambria Math" w:cs="Times New Roman"/>
              </w:rPr>
              <m:t xml:space="preserve"> </m:t>
            </m:r>
          </m:sub>
        </m:sSub>
        <m:r>
          <m:rPr>
            <m:sty m:val="p"/>
          </m:rPr>
          <w:rPr>
            <w:rFonts w:ascii="Cambria Math" w:hAnsi="Cambria Math" w:cs="Times New Roman"/>
          </w:rPr>
          <m:t xml:space="preserve">~ N (0, </m:t>
        </m:r>
        <m:sSubSup>
          <m:sSubSupPr>
            <m:ctrlPr>
              <w:rPr>
                <w:rFonts w:ascii="Cambria Math" w:hAnsi="Cambria Math" w:cs="Times New Roman"/>
              </w:rPr>
            </m:ctrlPr>
          </m:sSubSupPr>
          <m:e>
            <m:r>
              <m:rPr>
                <m:sty m:val="p"/>
              </m:rPr>
              <w:rPr>
                <w:rFonts w:ascii="Cambria Math" w:hAnsi="Cambria Math" w:cs="Times New Roman"/>
              </w:rPr>
              <w:sym w:font="Symbol" w:char="F073"/>
            </m:r>
          </m:e>
          <m:sub>
            <m:r>
              <m:rPr>
                <m:sty m:val="p"/>
              </m:rPr>
              <w:rPr>
                <w:rFonts w:ascii="Cambria Math" w:hAnsi="Cambria Math" w:cs="Times New Roman"/>
              </w:rPr>
              <m:t>µ</m:t>
            </m:r>
          </m:sub>
          <m:sup>
            <m:r>
              <m:rPr>
                <m:sty m:val="p"/>
              </m:rPr>
              <w:rPr>
                <w:rFonts w:ascii="Cambria Math" w:hAnsi="Cambria Math" w:cs="Times New Roman"/>
              </w:rPr>
              <m:t>2</m:t>
            </m:r>
          </m:sup>
        </m:sSubSup>
        <m:r>
          <m:rPr>
            <m:sty m:val="p"/>
          </m:rPr>
          <w:rPr>
            <w:rFonts w:ascii="Cambria Math" w:hAnsi="Cambria Math" w:cs="Times New Roman"/>
          </w:rPr>
          <m:t>)</m:t>
        </m:r>
      </m:oMath>
      <w:r w:rsidRPr="00E4375B">
        <w:rPr>
          <w:rFonts w:ascii="Times New Roman" w:hAnsi="Times New Roman" w:cs="Times New Roman"/>
        </w:rPr>
        <w:t xml:space="preserve">   y  </w:t>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ij</m:t>
            </m:r>
          </m:sub>
        </m:sSub>
        <m:r>
          <m:rPr>
            <m:sty m:val="p"/>
          </m:rPr>
          <w:rPr>
            <w:rFonts w:ascii="Cambria Math" w:hAnsi="Cambria Math" w:cs="Times New Roman"/>
          </w:rPr>
          <m:t xml:space="preserve"> ~ N (0, </m:t>
        </m:r>
        <m:sSubSup>
          <m:sSubSupPr>
            <m:ctrlPr>
              <w:rPr>
                <w:rFonts w:ascii="Cambria Math" w:hAnsi="Cambria Math" w:cs="Times New Roman"/>
              </w:rPr>
            </m:ctrlPr>
          </m:sSubSupPr>
          <m:e>
            <m:r>
              <m:rPr>
                <m:sty m:val="p"/>
              </m:rPr>
              <w:rPr>
                <w:rFonts w:ascii="Cambria Math" w:hAnsi="Cambria Math" w:cs="Times New Roman"/>
              </w:rPr>
              <w:sym w:font="Symbol" w:char="F073"/>
            </m:r>
          </m:e>
          <m:sub>
            <m:r>
              <w:rPr>
                <w:rFonts w:ascii="Cambria Math" w:hAnsi="Cambria Math" w:cs="Times New Roman"/>
              </w:rPr>
              <m:t>ε</m:t>
            </m:r>
          </m:sub>
          <m:sup>
            <m:r>
              <m:rPr>
                <m:sty m:val="p"/>
              </m:rPr>
              <w:rPr>
                <w:rFonts w:ascii="Cambria Math" w:hAnsi="Cambria Math" w:cs="Times New Roman"/>
              </w:rPr>
              <m:t>2</m:t>
            </m:r>
          </m:sup>
        </m:sSubSup>
        <m:r>
          <m:rPr>
            <m:sty m:val="p"/>
          </m:rPr>
          <w:rPr>
            <w:rFonts w:ascii="Cambria Math" w:hAnsi="Cambria Math" w:cs="Times New Roman"/>
          </w:rPr>
          <m:t>)</m:t>
        </m:r>
      </m:oMath>
      <w:r w:rsidRPr="00E4375B">
        <w:rPr>
          <w:rFonts w:ascii="Times New Roman" w:hAnsi="Times New Roman" w:cs="Times New Roman"/>
        </w:rPr>
        <w:t xml:space="preserve"> </w:t>
      </w:r>
      <w:r w:rsidR="00610100" w:rsidRPr="00E4375B">
        <w:rPr>
          <w:rFonts w:ascii="Times New Roman" w:hAnsi="Times New Roman" w:cs="Times New Roman"/>
        </w:rPr>
        <w:t>, y</w:t>
      </w:r>
    </w:p>
    <w:p w14:paraId="028DA705" w14:textId="2EA704B0" w:rsidR="00E95CE2" w:rsidRPr="00E4375B" w:rsidRDefault="00000000" w:rsidP="00E4375B">
      <w:pPr>
        <w:spacing w:before="240" w:after="120" w:line="360"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α</m:t>
            </m:r>
          </m:e>
          <m:sub>
            <m:r>
              <m:rPr>
                <m:sty m:val="p"/>
              </m:rPr>
              <w:rPr>
                <w:rFonts w:ascii="Cambria Math" w:hAnsi="Cambria Math" w:cs="Times New Roman"/>
              </w:rPr>
              <m:t>1</m:t>
            </m:r>
          </m:sub>
        </m:sSub>
      </m:oMath>
      <w:r w:rsidR="00E95CE2" w:rsidRPr="00E4375B">
        <w:rPr>
          <w:rFonts w:ascii="Times New Roman" w:eastAsiaTheme="minorEastAsia" w:hAnsi="Times New Roman" w:cs="Times New Roman"/>
        </w:rPr>
        <w:t xml:space="preserve"> = </w:t>
      </w:r>
      <w:r w:rsidR="00E95CE2" w:rsidRPr="00E4375B">
        <w:rPr>
          <w:rFonts w:ascii="Times New Roman" w:hAnsi="Times New Roman" w:cs="Times New Roman"/>
        </w:rPr>
        <w:t>ordenada al origen</w:t>
      </w:r>
    </w:p>
    <w:p w14:paraId="25E0592D" w14:textId="4BBE1FBA" w:rsidR="00307E1A" w:rsidRPr="00E4375B" w:rsidRDefault="00000000" w:rsidP="00E4375B">
      <w:pPr>
        <w:spacing w:line="360" w:lineRule="auto"/>
        <w:ind w:right="72"/>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LnP</m:t>
            </m:r>
          </m:e>
          <m:sub>
            <m:r>
              <w:rPr>
                <w:rFonts w:ascii="Cambria Math" w:hAnsi="Cambria Math" w:cs="Times New Roman"/>
              </w:rPr>
              <m:t>ij</m:t>
            </m:r>
          </m:sub>
        </m:sSub>
      </m:oMath>
      <w:r w:rsidR="00307E1A" w:rsidRPr="00E4375B">
        <w:rPr>
          <w:rFonts w:ascii="Times New Roman" w:hAnsi="Times New Roman" w:cs="Times New Roman"/>
        </w:rPr>
        <w:t xml:space="preserve">= </w:t>
      </w:r>
      <w:r w:rsidR="0013012E" w:rsidRPr="00E4375B">
        <w:rPr>
          <w:rFonts w:ascii="Times New Roman" w:hAnsi="Times New Roman" w:cs="Times New Roman"/>
        </w:rPr>
        <w:t>Logaritmo natural del precio promedio de cotización en el tercer mes posterior al cierre del ejercicio i de la empresa j.</w:t>
      </w:r>
    </w:p>
    <w:p w14:paraId="2AC9CE8B" w14:textId="32C72491" w:rsidR="00307E1A" w:rsidRPr="00E4375B" w:rsidRDefault="00000000" w:rsidP="00E4375B">
      <w:pPr>
        <w:spacing w:line="360" w:lineRule="auto"/>
        <w:ind w:right="72"/>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PN</m:t>
            </m:r>
          </m:e>
          <m:sub>
            <m:r>
              <w:rPr>
                <w:rFonts w:ascii="Cambria Math" w:hAnsi="Cambria Math" w:cs="Times New Roman"/>
              </w:rPr>
              <m:t>ij</m:t>
            </m:r>
          </m:sub>
        </m:sSub>
      </m:oMath>
      <w:r w:rsidR="00307E1A" w:rsidRPr="00E4375B">
        <w:rPr>
          <w:rFonts w:ascii="Times New Roman" w:hAnsi="Times New Roman" w:cs="Times New Roman"/>
        </w:rPr>
        <w:t>=</w:t>
      </w:r>
      <w:r w:rsidR="000D6848" w:rsidRPr="00E4375B">
        <w:rPr>
          <w:rFonts w:ascii="Times New Roman" w:hAnsi="Times New Roman" w:cs="Times New Roman"/>
        </w:rPr>
        <w:t xml:space="preserve"> Patrimonio neto al cierre del ejercicio i dividido por el número de acciones en circulación al cierre del ejercicio i de la empresa j.</w:t>
      </w:r>
    </w:p>
    <w:p w14:paraId="6D857CEC" w14:textId="160EDADD" w:rsidR="00E95CE2" w:rsidRPr="00E4375B" w:rsidRDefault="00000000" w:rsidP="00E4375B">
      <w:pPr>
        <w:spacing w:line="360" w:lineRule="auto"/>
        <w:ind w:right="72"/>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1</m:t>
            </m:r>
          </m:sub>
        </m:sSub>
      </m:oMath>
      <w:r w:rsidR="00E95CE2" w:rsidRPr="00E4375B">
        <w:rPr>
          <w:rFonts w:ascii="Times New Roman" w:hAnsi="Times New Roman" w:cs="Times New Roman"/>
        </w:rPr>
        <w:t xml:space="preserve"> = coeficiente que cuantifica el efecto de la variable </w:t>
      </w:r>
      <m:oMath>
        <m:r>
          <w:rPr>
            <w:rFonts w:ascii="Cambria Math" w:hAnsi="Cambria Math" w:cs="Times New Roman"/>
          </w:rPr>
          <m:t>PN</m:t>
        </m:r>
      </m:oMath>
      <w:r w:rsidR="00E95CE2" w:rsidRPr="00E4375B">
        <w:rPr>
          <w:rFonts w:ascii="Times New Roman" w:hAnsi="Times New Roman" w:cs="Times New Roman"/>
        </w:rPr>
        <w:t xml:space="preserve"> en el </w:t>
      </w:r>
      <m:oMath>
        <m:r>
          <w:rPr>
            <w:rFonts w:ascii="Cambria Math" w:hAnsi="Cambria Math" w:cs="Times New Roman"/>
          </w:rPr>
          <m:t>LnP.</m:t>
        </m:r>
      </m:oMath>
    </w:p>
    <w:p w14:paraId="1B057102" w14:textId="1224D9DD" w:rsidR="00307E1A" w:rsidRPr="00E4375B" w:rsidRDefault="00000000" w:rsidP="00E4375B">
      <w:pPr>
        <w:spacing w:line="360" w:lineRule="auto"/>
        <w:ind w:right="72"/>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Rdo</m:t>
            </m:r>
          </m:e>
          <m:sub>
            <m:r>
              <w:rPr>
                <w:rFonts w:ascii="Cambria Math" w:hAnsi="Cambria Math" w:cs="Times New Roman"/>
              </w:rPr>
              <m:t>ij</m:t>
            </m:r>
          </m:sub>
        </m:sSub>
      </m:oMath>
      <w:r w:rsidR="00307E1A" w:rsidRPr="00E4375B">
        <w:rPr>
          <w:rFonts w:ascii="Times New Roman" w:hAnsi="Times New Roman" w:cs="Times New Roman"/>
        </w:rPr>
        <w:t xml:space="preserve">= </w:t>
      </w:r>
      <w:r w:rsidR="00C25C92" w:rsidRPr="00E4375B">
        <w:rPr>
          <w:rFonts w:ascii="Times New Roman" w:hAnsi="Times New Roman" w:cs="Times New Roman"/>
        </w:rPr>
        <w:t>Resultado del período correspondiente al ejercicio i dividido por el número de las acciones en circulación al cierre del ejercicio i de la empresa j.</w:t>
      </w:r>
    </w:p>
    <w:p w14:paraId="56F8949B" w14:textId="5EBE46F8" w:rsidR="00E95CE2" w:rsidRPr="00E4375B" w:rsidRDefault="00000000" w:rsidP="00E4375B">
      <w:pPr>
        <w:spacing w:line="360" w:lineRule="auto"/>
        <w:ind w:right="72"/>
        <w:jc w:val="both"/>
        <w:rPr>
          <w:rFonts w:ascii="Times New Roman" w:eastAsiaTheme="minorEastAsia" w:hAnsi="Times New Roman" w:cs="Times New Roman"/>
        </w:rPr>
      </w:pPr>
      <m:oMath>
        <m:sSub>
          <m:sSubPr>
            <m:ctrlPr>
              <w:rPr>
                <w:rFonts w:ascii="Cambria Math" w:hAnsi="Cambria Math" w:cs="Times New Roman"/>
              </w:rPr>
            </m:ctrlPr>
          </m:sSubPr>
          <m:e>
            <m:r>
              <w:rPr>
                <w:rFonts w:ascii="Cambria Math" w:hAnsi="Cambria Math" w:cs="Times New Roman"/>
              </w:rPr>
              <m:t>β</m:t>
            </m:r>
          </m:e>
          <m:sub>
            <m:r>
              <m:rPr>
                <m:sty m:val="p"/>
              </m:rPr>
              <w:rPr>
                <w:rFonts w:ascii="Cambria Math" w:hAnsi="Cambria Math" w:cs="Times New Roman"/>
              </w:rPr>
              <m:t>2</m:t>
            </m:r>
          </m:sub>
        </m:sSub>
        <m:r>
          <w:rPr>
            <w:rFonts w:ascii="Cambria Math" w:hAnsi="Cambria Math" w:cs="Times New Roman"/>
          </w:rPr>
          <m:t>=</m:t>
        </m:r>
      </m:oMath>
      <w:r w:rsidR="00E95CE2" w:rsidRPr="00E4375B">
        <w:rPr>
          <w:rFonts w:ascii="Times New Roman" w:hAnsi="Times New Roman" w:cs="Times New Roman"/>
        </w:rPr>
        <w:t xml:space="preserve"> coeficiente que cuantifica el efecto de la variable </w:t>
      </w:r>
      <m:oMath>
        <m:r>
          <w:rPr>
            <w:rFonts w:ascii="Cambria Math" w:hAnsi="Cambria Math" w:cs="Times New Roman"/>
          </w:rPr>
          <m:t>Rdo</m:t>
        </m:r>
      </m:oMath>
      <w:r w:rsidR="00E95CE2" w:rsidRPr="00E4375B">
        <w:rPr>
          <w:rFonts w:ascii="Times New Roman" w:hAnsi="Times New Roman" w:cs="Times New Roman"/>
        </w:rPr>
        <w:t xml:space="preserve"> en el </w:t>
      </w:r>
      <m:oMath>
        <m:r>
          <w:rPr>
            <w:rFonts w:ascii="Cambria Math" w:hAnsi="Cambria Math" w:cs="Times New Roman"/>
          </w:rPr>
          <m:t>LnP.</m:t>
        </m:r>
      </m:oMath>
    </w:p>
    <w:p w14:paraId="015D8E54" w14:textId="03E831C2" w:rsidR="0093276E" w:rsidRPr="00E4375B" w:rsidRDefault="00000000" w:rsidP="00E4375B">
      <w:pPr>
        <w:spacing w:line="360" w:lineRule="auto"/>
        <w:ind w:right="72"/>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j</m:t>
            </m:r>
            <m:r>
              <m:rPr>
                <m:sty m:val="p"/>
              </m:rPr>
              <w:rPr>
                <w:rFonts w:ascii="Cambria Math" w:hAnsi="Cambria Math" w:cs="Times New Roman"/>
              </w:rPr>
              <m:t xml:space="preserve"> </m:t>
            </m:r>
          </m:sub>
        </m:sSub>
      </m:oMath>
      <w:r w:rsidR="00B802E6" w:rsidRPr="00E4375B">
        <w:rPr>
          <w:rFonts w:ascii="Times New Roman" w:eastAsiaTheme="minorEastAsia" w:hAnsi="Times New Roman" w:cs="Times New Roman"/>
        </w:rPr>
        <w:t xml:space="preserve"> = </w:t>
      </w:r>
      <w:r w:rsidR="00B802E6" w:rsidRPr="00E4375B">
        <w:rPr>
          <w:rFonts w:ascii="Times New Roman" w:hAnsi="Times New Roman" w:cs="Times New Roman"/>
        </w:rPr>
        <w:t>variable aleatoria no observada que permite captar los efectos individuales y representa el cambio en la ordenada para la j-ésima empresa.</w:t>
      </w:r>
    </w:p>
    <w:p w14:paraId="27814D15" w14:textId="36DD3437" w:rsidR="00E95CE2" w:rsidRPr="00E4375B" w:rsidRDefault="00000000" w:rsidP="00E4375B">
      <w:pPr>
        <w:spacing w:after="120" w:line="360" w:lineRule="auto"/>
        <w:jc w:val="both"/>
        <w:rPr>
          <w:rFonts w:ascii="Times New Roman" w:hAnsi="Times New Roman" w:cs="Times New Roman"/>
        </w:rPr>
      </w:pPr>
      <m:oMath>
        <m:sSub>
          <m:sSubPr>
            <m:ctrlPr>
              <w:rPr>
                <w:rFonts w:ascii="Cambria Math" w:hAnsi="Cambria Math" w:cs="Times New Roman"/>
                <w:i/>
                <w:iCs/>
              </w:rPr>
            </m:ctrlPr>
          </m:sSubPr>
          <m:e>
            <m:r>
              <w:rPr>
                <w:rFonts w:ascii="Cambria Math" w:hAnsi="Cambria Math" w:cs="Times New Roman"/>
              </w:rPr>
              <m:t>ε</m:t>
            </m:r>
          </m:e>
          <m:sub>
            <m:r>
              <w:rPr>
                <w:rFonts w:ascii="Cambria Math" w:hAnsi="Cambria Math" w:cs="Times New Roman"/>
              </w:rPr>
              <m:t>ij</m:t>
            </m:r>
          </m:sub>
        </m:sSub>
      </m:oMath>
      <w:r w:rsidR="009A20BA" w:rsidRPr="00E4375B">
        <w:rPr>
          <w:rFonts w:ascii="Times New Roman" w:hAnsi="Times New Roman" w:cs="Times New Roman"/>
        </w:rPr>
        <w:t>= término de error.</w:t>
      </w:r>
    </w:p>
    <w:p w14:paraId="5155AA1E" w14:textId="77777777" w:rsidR="00244931" w:rsidRPr="00E4375B" w:rsidRDefault="00D50747" w:rsidP="00E4375B">
      <w:pPr>
        <w:spacing w:line="360" w:lineRule="auto"/>
        <w:jc w:val="both"/>
        <w:rPr>
          <w:rFonts w:ascii="Times New Roman" w:hAnsi="Times New Roman" w:cs="Times New Roman"/>
          <w:u w:val="single"/>
        </w:rPr>
      </w:pPr>
      <w:r w:rsidRPr="00E4375B">
        <w:rPr>
          <w:rFonts w:ascii="Times New Roman" w:hAnsi="Times New Roman" w:cs="Times New Roman"/>
          <w:u w:val="single"/>
        </w:rPr>
        <w:t>Resultados</w:t>
      </w:r>
      <w:bookmarkStart w:id="3" w:name="_Toc138429106"/>
    </w:p>
    <w:p w14:paraId="5E95CF27" w14:textId="7258BCF3" w:rsidR="00244931" w:rsidRPr="00E4375B" w:rsidRDefault="00244931" w:rsidP="00E4375B">
      <w:pPr>
        <w:spacing w:line="360" w:lineRule="auto"/>
        <w:jc w:val="both"/>
        <w:rPr>
          <w:rFonts w:ascii="Times New Roman" w:hAnsi="Times New Roman" w:cs="Times New Roman"/>
          <w:u w:val="single"/>
        </w:rPr>
      </w:pPr>
      <w:r w:rsidRPr="00E4375B">
        <w:rPr>
          <w:rFonts w:ascii="Times New Roman" w:hAnsi="Times New Roman" w:cs="Times New Roman"/>
          <w:u w:val="single"/>
        </w:rPr>
        <w:t>Selección y distribución de la Muestra</w:t>
      </w:r>
      <w:bookmarkEnd w:id="3"/>
    </w:p>
    <w:p w14:paraId="33A3CA2D" w14:textId="29210E7D" w:rsidR="00594657" w:rsidRPr="00E4375B" w:rsidRDefault="00594657" w:rsidP="00E4375B">
      <w:pPr>
        <w:spacing w:line="360" w:lineRule="auto"/>
        <w:jc w:val="both"/>
        <w:rPr>
          <w:rFonts w:ascii="Times New Roman" w:hAnsi="Times New Roman" w:cs="Times New Roman"/>
        </w:rPr>
      </w:pPr>
      <w:r w:rsidRPr="00E4375B">
        <w:rPr>
          <w:rFonts w:ascii="Times New Roman" w:hAnsi="Times New Roman" w:cs="Times New Roman"/>
        </w:rPr>
        <w:t xml:space="preserve">La Tabla I muestra la selección de la muestra inicial conformada por </w:t>
      </w:r>
      <w:r w:rsidR="000D6FFF" w:rsidRPr="00E4375B">
        <w:rPr>
          <w:rFonts w:ascii="Times New Roman" w:hAnsi="Times New Roman" w:cs="Times New Roman"/>
        </w:rPr>
        <w:t>7</w:t>
      </w:r>
      <w:r w:rsidRPr="00E4375B">
        <w:rPr>
          <w:rFonts w:ascii="Times New Roman" w:hAnsi="Times New Roman" w:cs="Times New Roman"/>
        </w:rPr>
        <w:t xml:space="preserve"> </w:t>
      </w:r>
      <w:r w:rsidR="000D6FFF" w:rsidRPr="00E4375B">
        <w:rPr>
          <w:rFonts w:ascii="Times New Roman" w:hAnsi="Times New Roman" w:cs="Times New Roman"/>
        </w:rPr>
        <w:t>instituciones financieras</w:t>
      </w:r>
      <w:r w:rsidRPr="00E4375B">
        <w:rPr>
          <w:rFonts w:ascii="Times New Roman" w:hAnsi="Times New Roman" w:cs="Times New Roman"/>
        </w:rPr>
        <w:t xml:space="preserve"> que operaron en el mercado de valores de Argentina en el período 200</w:t>
      </w:r>
      <w:r w:rsidR="00EA0CF0">
        <w:rPr>
          <w:rFonts w:ascii="Times New Roman" w:hAnsi="Times New Roman" w:cs="Times New Roman"/>
        </w:rPr>
        <w:t>4</w:t>
      </w:r>
      <w:r w:rsidRPr="00E4375B">
        <w:rPr>
          <w:rFonts w:ascii="Times New Roman" w:hAnsi="Times New Roman" w:cs="Times New Roman"/>
        </w:rPr>
        <w:t>-201</w:t>
      </w:r>
      <w:r w:rsidR="000D6FFF" w:rsidRPr="00E4375B">
        <w:rPr>
          <w:rFonts w:ascii="Times New Roman" w:hAnsi="Times New Roman" w:cs="Times New Roman"/>
        </w:rPr>
        <w:t>7</w:t>
      </w:r>
      <w:r w:rsidRPr="00E4375B">
        <w:rPr>
          <w:rFonts w:ascii="Times New Roman" w:hAnsi="Times New Roman" w:cs="Times New Roman"/>
        </w:rPr>
        <w:t xml:space="preserve"> y se mantuvieron </w:t>
      </w:r>
      <w:r w:rsidRPr="00E4375B">
        <w:rPr>
          <w:rFonts w:ascii="Times New Roman" w:hAnsi="Times New Roman" w:cs="Times New Roman"/>
        </w:rPr>
        <w:lastRenderedPageBreak/>
        <w:t>con presencia bursátil en la etapa de empleo de la normativa local</w:t>
      </w:r>
      <w:r w:rsidR="009860AF" w:rsidRPr="00E4375B">
        <w:rPr>
          <w:rFonts w:ascii="Times New Roman" w:hAnsi="Times New Roman" w:cs="Times New Roman"/>
        </w:rPr>
        <w:t xml:space="preserve">. </w:t>
      </w:r>
      <w:r w:rsidRPr="00E4375B">
        <w:rPr>
          <w:rFonts w:ascii="Times New Roman" w:hAnsi="Times New Roman" w:cs="Times New Roman"/>
        </w:rPr>
        <w:t xml:space="preserve">Esta muestra arroja </w:t>
      </w:r>
      <w:r w:rsidR="00EA0CF0">
        <w:rPr>
          <w:rFonts w:ascii="Times New Roman" w:hAnsi="Times New Roman" w:cs="Times New Roman"/>
        </w:rPr>
        <w:t>81</w:t>
      </w:r>
      <w:r w:rsidRPr="00E4375B">
        <w:rPr>
          <w:rFonts w:ascii="Times New Roman" w:hAnsi="Times New Roman" w:cs="Times New Roman"/>
        </w:rPr>
        <w:t xml:space="preserve"> observaciones en el período de 1</w:t>
      </w:r>
      <w:r w:rsidR="00EA0CF0">
        <w:rPr>
          <w:rFonts w:ascii="Times New Roman" w:hAnsi="Times New Roman" w:cs="Times New Roman"/>
        </w:rPr>
        <w:t>4</w:t>
      </w:r>
      <w:r w:rsidRPr="00E4375B">
        <w:rPr>
          <w:rFonts w:ascii="Times New Roman" w:hAnsi="Times New Roman" w:cs="Times New Roman"/>
        </w:rPr>
        <w:t xml:space="preserve"> años.</w:t>
      </w:r>
    </w:p>
    <w:p w14:paraId="55B5842B" w14:textId="0C0C11EC" w:rsidR="00AE21E9" w:rsidRPr="00E4375B" w:rsidRDefault="00AE21E9" w:rsidP="00E4375B">
      <w:pPr>
        <w:spacing w:after="120" w:line="360" w:lineRule="auto"/>
        <w:jc w:val="both"/>
        <w:rPr>
          <w:rFonts w:ascii="Times New Roman" w:hAnsi="Times New Roman" w:cs="Times New Roman"/>
          <w:b/>
          <w:bCs/>
        </w:rPr>
      </w:pPr>
      <w:r w:rsidRPr="00E4375B">
        <w:rPr>
          <w:rFonts w:ascii="Times New Roman" w:hAnsi="Times New Roman" w:cs="Times New Roman"/>
          <w:b/>
          <w:bCs/>
        </w:rPr>
        <w:t>Tabla I</w:t>
      </w:r>
    </w:p>
    <w:p w14:paraId="2F9C430F" w14:textId="77777777" w:rsidR="00AE21E9" w:rsidRPr="00E4375B" w:rsidRDefault="00AE21E9" w:rsidP="00E4375B">
      <w:pPr>
        <w:spacing w:after="120" w:line="360" w:lineRule="auto"/>
        <w:jc w:val="both"/>
        <w:rPr>
          <w:rFonts w:ascii="Times New Roman" w:hAnsi="Times New Roman" w:cs="Times New Roman"/>
          <w:i/>
          <w:iCs/>
        </w:rPr>
      </w:pPr>
      <w:r w:rsidRPr="00E4375B">
        <w:rPr>
          <w:rFonts w:ascii="Times New Roman" w:hAnsi="Times New Roman" w:cs="Times New Roman"/>
          <w:i/>
          <w:iCs/>
        </w:rPr>
        <w:t>Selección de la muestra</w:t>
      </w:r>
    </w:p>
    <w:tbl>
      <w:tblPr>
        <w:tblStyle w:val="Tablaconcuadrcula"/>
        <w:tblW w:w="0" w:type="auto"/>
        <w:jc w:val="center"/>
        <w:tblBorders>
          <w:bottom w:val="none" w:sz="0" w:space="0" w:color="auto"/>
        </w:tblBorders>
        <w:tblLook w:val="04A0" w:firstRow="1" w:lastRow="0" w:firstColumn="1" w:lastColumn="0" w:noHBand="0" w:noVBand="1"/>
      </w:tblPr>
      <w:tblGrid>
        <w:gridCol w:w="3969"/>
        <w:gridCol w:w="1506"/>
        <w:gridCol w:w="1173"/>
      </w:tblGrid>
      <w:tr w:rsidR="00AE21E9" w14:paraId="5AFDE8C1" w14:textId="77777777" w:rsidTr="00AA200A">
        <w:trPr>
          <w:trHeight w:val="284"/>
          <w:jc w:val="center"/>
        </w:trPr>
        <w:tc>
          <w:tcPr>
            <w:tcW w:w="3969" w:type="dxa"/>
            <w:tcBorders>
              <w:top w:val="single" w:sz="4" w:space="0" w:color="auto"/>
              <w:left w:val="nil"/>
              <w:bottom w:val="single" w:sz="4" w:space="0" w:color="auto"/>
              <w:right w:val="nil"/>
            </w:tcBorders>
            <w:shd w:val="clear" w:color="auto" w:fill="D0CECE" w:themeFill="background2" w:themeFillShade="E6"/>
          </w:tcPr>
          <w:p w14:paraId="18C55D56" w14:textId="77777777" w:rsidR="00AE21E9" w:rsidRPr="00E4375B" w:rsidRDefault="00AE21E9" w:rsidP="00AA200A">
            <w:pPr>
              <w:rPr>
                <w:rFonts w:ascii="Times New Roman" w:hAnsi="Times New Roman" w:cs="Times New Roman"/>
              </w:rPr>
            </w:pPr>
          </w:p>
          <w:p w14:paraId="669A5946" w14:textId="51EED407" w:rsidR="00AE21E9" w:rsidRPr="00E4375B" w:rsidRDefault="00AE21E9" w:rsidP="00AA200A">
            <w:pPr>
              <w:jc w:val="center"/>
              <w:rPr>
                <w:rFonts w:ascii="Times New Roman" w:hAnsi="Times New Roman" w:cs="Times New Roman"/>
              </w:rPr>
            </w:pPr>
            <w:r w:rsidRPr="00E4375B">
              <w:rPr>
                <w:rFonts w:ascii="Times New Roman" w:hAnsi="Times New Roman" w:cs="Times New Roman"/>
              </w:rPr>
              <w:t>Período muestral 200</w:t>
            </w:r>
            <w:r w:rsidR="00E4375B">
              <w:rPr>
                <w:rFonts w:ascii="Times New Roman" w:hAnsi="Times New Roman" w:cs="Times New Roman"/>
              </w:rPr>
              <w:t>4</w:t>
            </w:r>
            <w:r w:rsidRPr="00E4375B">
              <w:rPr>
                <w:rFonts w:ascii="Times New Roman" w:hAnsi="Times New Roman" w:cs="Times New Roman"/>
              </w:rPr>
              <w:t>-201</w:t>
            </w:r>
            <w:r w:rsidR="0019626F" w:rsidRPr="00E4375B">
              <w:rPr>
                <w:rFonts w:ascii="Times New Roman" w:hAnsi="Times New Roman" w:cs="Times New Roman"/>
              </w:rPr>
              <w:t>7</w:t>
            </w:r>
          </w:p>
        </w:tc>
        <w:tc>
          <w:tcPr>
            <w:tcW w:w="1506" w:type="dxa"/>
            <w:tcBorders>
              <w:top w:val="single" w:sz="4" w:space="0" w:color="auto"/>
              <w:left w:val="nil"/>
              <w:bottom w:val="single" w:sz="4" w:space="0" w:color="auto"/>
              <w:right w:val="nil"/>
            </w:tcBorders>
            <w:shd w:val="clear" w:color="auto" w:fill="D0CECE" w:themeFill="background2" w:themeFillShade="E6"/>
          </w:tcPr>
          <w:p w14:paraId="4A5FB2A3" w14:textId="77777777" w:rsidR="00AE21E9" w:rsidRPr="00E4375B" w:rsidRDefault="00AE21E9" w:rsidP="00AA200A">
            <w:pPr>
              <w:jc w:val="center"/>
              <w:rPr>
                <w:rFonts w:ascii="Times New Roman" w:hAnsi="Times New Roman" w:cs="Times New Roman"/>
              </w:rPr>
            </w:pPr>
            <w:r w:rsidRPr="00E4375B">
              <w:rPr>
                <w:rFonts w:ascii="Times New Roman" w:hAnsi="Times New Roman" w:cs="Times New Roman"/>
              </w:rPr>
              <w:t xml:space="preserve">N.º de observaciones </w:t>
            </w:r>
          </w:p>
        </w:tc>
        <w:tc>
          <w:tcPr>
            <w:tcW w:w="1173" w:type="dxa"/>
            <w:tcBorders>
              <w:top w:val="single" w:sz="4" w:space="0" w:color="auto"/>
              <w:left w:val="nil"/>
              <w:bottom w:val="single" w:sz="4" w:space="0" w:color="auto"/>
              <w:right w:val="nil"/>
            </w:tcBorders>
            <w:shd w:val="clear" w:color="auto" w:fill="D0CECE" w:themeFill="background2" w:themeFillShade="E6"/>
          </w:tcPr>
          <w:p w14:paraId="5454F9BF" w14:textId="77777777" w:rsidR="00AE21E9" w:rsidRPr="00E4375B" w:rsidRDefault="00AE21E9" w:rsidP="00AA200A">
            <w:pPr>
              <w:jc w:val="center"/>
              <w:rPr>
                <w:rFonts w:ascii="Times New Roman" w:hAnsi="Times New Roman" w:cs="Times New Roman"/>
              </w:rPr>
            </w:pPr>
            <w:r w:rsidRPr="00E4375B">
              <w:rPr>
                <w:rFonts w:ascii="Times New Roman" w:hAnsi="Times New Roman" w:cs="Times New Roman"/>
              </w:rPr>
              <w:t>N.º de empresas</w:t>
            </w:r>
          </w:p>
        </w:tc>
      </w:tr>
      <w:tr w:rsidR="00AE21E9" w14:paraId="04DFB81E" w14:textId="77777777" w:rsidTr="00AA200A">
        <w:trPr>
          <w:trHeight w:val="284"/>
          <w:jc w:val="center"/>
        </w:trPr>
        <w:tc>
          <w:tcPr>
            <w:tcW w:w="3969" w:type="dxa"/>
            <w:tcBorders>
              <w:top w:val="single" w:sz="4" w:space="0" w:color="auto"/>
              <w:left w:val="nil"/>
              <w:bottom w:val="nil"/>
              <w:right w:val="nil"/>
            </w:tcBorders>
          </w:tcPr>
          <w:p w14:paraId="59D7222F" w14:textId="77777777" w:rsidR="00AE21E9" w:rsidRPr="00E4375B" w:rsidRDefault="00AE21E9" w:rsidP="00AA200A">
            <w:pPr>
              <w:jc w:val="both"/>
              <w:rPr>
                <w:rFonts w:ascii="Times New Roman" w:hAnsi="Times New Roman" w:cs="Times New Roman"/>
              </w:rPr>
            </w:pPr>
            <w:r w:rsidRPr="00E4375B">
              <w:rPr>
                <w:rFonts w:ascii="Times New Roman" w:hAnsi="Times New Roman" w:cs="Times New Roman"/>
              </w:rPr>
              <w:t>Muestra inicial</w:t>
            </w:r>
          </w:p>
        </w:tc>
        <w:tc>
          <w:tcPr>
            <w:tcW w:w="1506" w:type="dxa"/>
            <w:tcBorders>
              <w:top w:val="single" w:sz="4" w:space="0" w:color="auto"/>
              <w:left w:val="nil"/>
              <w:bottom w:val="nil"/>
              <w:right w:val="nil"/>
            </w:tcBorders>
          </w:tcPr>
          <w:p w14:paraId="2D473865" w14:textId="5860D685" w:rsidR="00AE21E9" w:rsidRPr="00D6517C" w:rsidRDefault="002F25EA" w:rsidP="00AA200A">
            <w:pPr>
              <w:jc w:val="center"/>
              <w:rPr>
                <w:rFonts w:ascii="Times New Roman" w:hAnsi="Times New Roman" w:cs="Times New Roman"/>
              </w:rPr>
            </w:pPr>
            <w:r w:rsidRPr="00D6517C">
              <w:rPr>
                <w:rFonts w:ascii="Times New Roman" w:hAnsi="Times New Roman" w:cs="Times New Roman"/>
              </w:rPr>
              <w:t>9</w:t>
            </w:r>
            <w:r w:rsidR="00FB6665" w:rsidRPr="00D6517C">
              <w:rPr>
                <w:rFonts w:ascii="Times New Roman" w:hAnsi="Times New Roman" w:cs="Times New Roman"/>
              </w:rPr>
              <w:t>3</w:t>
            </w:r>
          </w:p>
        </w:tc>
        <w:tc>
          <w:tcPr>
            <w:tcW w:w="1173" w:type="dxa"/>
            <w:tcBorders>
              <w:top w:val="single" w:sz="4" w:space="0" w:color="auto"/>
              <w:left w:val="nil"/>
              <w:bottom w:val="nil"/>
              <w:right w:val="nil"/>
            </w:tcBorders>
          </w:tcPr>
          <w:p w14:paraId="204B53EF" w14:textId="6BE9926E" w:rsidR="00AE21E9" w:rsidRPr="00D6517C" w:rsidRDefault="00AE21E9" w:rsidP="00AA200A">
            <w:pPr>
              <w:jc w:val="center"/>
              <w:rPr>
                <w:rFonts w:ascii="Times New Roman" w:hAnsi="Times New Roman" w:cs="Times New Roman"/>
              </w:rPr>
            </w:pPr>
            <w:r w:rsidRPr="00D6517C">
              <w:rPr>
                <w:rFonts w:ascii="Times New Roman" w:hAnsi="Times New Roman" w:cs="Times New Roman"/>
              </w:rPr>
              <w:t>7</w:t>
            </w:r>
          </w:p>
        </w:tc>
      </w:tr>
      <w:tr w:rsidR="00AE21E9" w14:paraId="4E6AFFA9" w14:textId="77777777" w:rsidTr="00AA200A">
        <w:trPr>
          <w:trHeight w:val="284"/>
          <w:jc w:val="center"/>
        </w:trPr>
        <w:tc>
          <w:tcPr>
            <w:tcW w:w="3969" w:type="dxa"/>
            <w:tcBorders>
              <w:top w:val="nil"/>
              <w:left w:val="nil"/>
              <w:bottom w:val="nil"/>
              <w:right w:val="nil"/>
            </w:tcBorders>
          </w:tcPr>
          <w:p w14:paraId="15A70488" w14:textId="77777777" w:rsidR="00AE21E9" w:rsidRPr="00E4375B" w:rsidRDefault="00AE21E9" w:rsidP="00AA200A">
            <w:pPr>
              <w:jc w:val="both"/>
              <w:rPr>
                <w:rFonts w:ascii="Times New Roman" w:hAnsi="Times New Roman" w:cs="Times New Roman"/>
              </w:rPr>
            </w:pPr>
            <w:r w:rsidRPr="00E4375B">
              <w:rPr>
                <w:rFonts w:ascii="Times New Roman" w:hAnsi="Times New Roman" w:cs="Times New Roman"/>
              </w:rPr>
              <w:t>Patrimonio neto y/o resultado negativos</w:t>
            </w:r>
          </w:p>
        </w:tc>
        <w:tc>
          <w:tcPr>
            <w:tcW w:w="1506" w:type="dxa"/>
            <w:tcBorders>
              <w:top w:val="nil"/>
              <w:left w:val="nil"/>
              <w:bottom w:val="nil"/>
              <w:right w:val="nil"/>
            </w:tcBorders>
          </w:tcPr>
          <w:p w14:paraId="4365A0A2" w14:textId="414FCA6C" w:rsidR="00AE21E9" w:rsidRPr="00D6517C" w:rsidRDefault="006A12F1" w:rsidP="00AA200A">
            <w:pPr>
              <w:jc w:val="center"/>
              <w:rPr>
                <w:rFonts w:ascii="Times New Roman" w:hAnsi="Times New Roman" w:cs="Times New Roman"/>
              </w:rPr>
            </w:pPr>
            <w:r>
              <w:rPr>
                <w:rFonts w:ascii="Times New Roman" w:hAnsi="Times New Roman" w:cs="Times New Roman"/>
              </w:rPr>
              <w:t>10</w:t>
            </w:r>
          </w:p>
        </w:tc>
        <w:tc>
          <w:tcPr>
            <w:tcW w:w="1173" w:type="dxa"/>
            <w:tcBorders>
              <w:top w:val="nil"/>
              <w:left w:val="nil"/>
              <w:bottom w:val="nil"/>
              <w:right w:val="nil"/>
            </w:tcBorders>
          </w:tcPr>
          <w:p w14:paraId="2CD04EC7" w14:textId="77777777" w:rsidR="00AE21E9" w:rsidRPr="00D6517C" w:rsidRDefault="00AE21E9" w:rsidP="00AA200A">
            <w:pPr>
              <w:jc w:val="center"/>
              <w:rPr>
                <w:rFonts w:ascii="Times New Roman" w:hAnsi="Times New Roman" w:cs="Times New Roman"/>
              </w:rPr>
            </w:pPr>
            <w:r w:rsidRPr="00D6517C">
              <w:rPr>
                <w:rFonts w:ascii="Times New Roman" w:hAnsi="Times New Roman" w:cs="Times New Roman"/>
              </w:rPr>
              <w:t>-</w:t>
            </w:r>
          </w:p>
        </w:tc>
      </w:tr>
      <w:tr w:rsidR="00AE21E9" w14:paraId="5E10F75A" w14:textId="77777777" w:rsidTr="00AA200A">
        <w:trPr>
          <w:trHeight w:val="284"/>
          <w:jc w:val="center"/>
        </w:trPr>
        <w:tc>
          <w:tcPr>
            <w:tcW w:w="3969" w:type="dxa"/>
            <w:tcBorders>
              <w:top w:val="nil"/>
              <w:left w:val="nil"/>
              <w:bottom w:val="nil"/>
              <w:right w:val="nil"/>
            </w:tcBorders>
          </w:tcPr>
          <w:p w14:paraId="79DEC84A" w14:textId="77777777" w:rsidR="00AE21E9" w:rsidRPr="00E4375B" w:rsidRDefault="00AE21E9" w:rsidP="00AA200A">
            <w:pPr>
              <w:jc w:val="both"/>
              <w:rPr>
                <w:rFonts w:ascii="Times New Roman" w:hAnsi="Times New Roman" w:cs="Times New Roman"/>
              </w:rPr>
            </w:pPr>
            <w:r w:rsidRPr="00E4375B">
              <w:rPr>
                <w:rFonts w:ascii="Times New Roman" w:hAnsi="Times New Roman" w:cs="Times New Roman"/>
              </w:rPr>
              <w:t>Valores extremos</w:t>
            </w:r>
          </w:p>
        </w:tc>
        <w:tc>
          <w:tcPr>
            <w:tcW w:w="1506" w:type="dxa"/>
            <w:tcBorders>
              <w:top w:val="nil"/>
              <w:left w:val="nil"/>
              <w:bottom w:val="nil"/>
              <w:right w:val="nil"/>
            </w:tcBorders>
          </w:tcPr>
          <w:p w14:paraId="72B6AD2D" w14:textId="73BD9B7C" w:rsidR="00AE21E9" w:rsidRPr="00D6517C" w:rsidRDefault="0048195F" w:rsidP="00AA200A">
            <w:pPr>
              <w:jc w:val="center"/>
              <w:rPr>
                <w:rFonts w:ascii="Times New Roman" w:hAnsi="Times New Roman" w:cs="Times New Roman"/>
              </w:rPr>
            </w:pPr>
            <w:r w:rsidRPr="00D6517C">
              <w:rPr>
                <w:rFonts w:ascii="Times New Roman" w:hAnsi="Times New Roman" w:cs="Times New Roman"/>
              </w:rPr>
              <w:t>2</w:t>
            </w:r>
          </w:p>
        </w:tc>
        <w:tc>
          <w:tcPr>
            <w:tcW w:w="1173" w:type="dxa"/>
            <w:tcBorders>
              <w:top w:val="nil"/>
              <w:left w:val="nil"/>
              <w:bottom w:val="nil"/>
              <w:right w:val="nil"/>
            </w:tcBorders>
          </w:tcPr>
          <w:p w14:paraId="651E7F92" w14:textId="28A30E11" w:rsidR="00AE21E9" w:rsidRPr="00D6517C" w:rsidRDefault="0048195F" w:rsidP="00AA200A">
            <w:pPr>
              <w:jc w:val="center"/>
              <w:rPr>
                <w:rFonts w:ascii="Times New Roman" w:hAnsi="Times New Roman" w:cs="Times New Roman"/>
              </w:rPr>
            </w:pPr>
            <w:r w:rsidRPr="00D6517C">
              <w:rPr>
                <w:rFonts w:ascii="Times New Roman" w:hAnsi="Times New Roman" w:cs="Times New Roman"/>
              </w:rPr>
              <w:t>-</w:t>
            </w:r>
          </w:p>
        </w:tc>
      </w:tr>
      <w:tr w:rsidR="00AE21E9" w14:paraId="479D03D9" w14:textId="77777777" w:rsidTr="00AA200A">
        <w:trPr>
          <w:trHeight w:val="284"/>
          <w:jc w:val="center"/>
        </w:trPr>
        <w:tc>
          <w:tcPr>
            <w:tcW w:w="3969" w:type="dxa"/>
            <w:tcBorders>
              <w:top w:val="nil"/>
              <w:left w:val="nil"/>
              <w:bottom w:val="single" w:sz="4" w:space="0" w:color="auto"/>
              <w:right w:val="nil"/>
            </w:tcBorders>
          </w:tcPr>
          <w:p w14:paraId="4BEE2670" w14:textId="77777777" w:rsidR="00AE21E9" w:rsidRPr="00E4375B" w:rsidRDefault="00AE21E9" w:rsidP="00AA200A">
            <w:pPr>
              <w:jc w:val="both"/>
              <w:rPr>
                <w:rFonts w:ascii="Times New Roman" w:hAnsi="Times New Roman" w:cs="Times New Roman"/>
              </w:rPr>
            </w:pPr>
            <w:r w:rsidRPr="00E4375B">
              <w:rPr>
                <w:rFonts w:ascii="Times New Roman" w:hAnsi="Times New Roman" w:cs="Times New Roman"/>
              </w:rPr>
              <w:t>Muestra final</w:t>
            </w:r>
          </w:p>
        </w:tc>
        <w:tc>
          <w:tcPr>
            <w:tcW w:w="1506" w:type="dxa"/>
            <w:tcBorders>
              <w:top w:val="nil"/>
              <w:left w:val="nil"/>
              <w:bottom w:val="single" w:sz="4" w:space="0" w:color="auto"/>
              <w:right w:val="nil"/>
            </w:tcBorders>
          </w:tcPr>
          <w:p w14:paraId="0A45825D" w14:textId="7F9C992D" w:rsidR="00AE21E9" w:rsidRPr="00D6517C" w:rsidRDefault="0048195F" w:rsidP="00AA200A">
            <w:pPr>
              <w:jc w:val="center"/>
              <w:rPr>
                <w:rFonts w:ascii="Times New Roman" w:hAnsi="Times New Roman" w:cs="Times New Roman"/>
              </w:rPr>
            </w:pPr>
            <w:r w:rsidRPr="00D6517C">
              <w:rPr>
                <w:rFonts w:ascii="Times New Roman" w:hAnsi="Times New Roman" w:cs="Times New Roman"/>
              </w:rPr>
              <w:t>81</w:t>
            </w:r>
          </w:p>
        </w:tc>
        <w:tc>
          <w:tcPr>
            <w:tcW w:w="1173" w:type="dxa"/>
            <w:tcBorders>
              <w:top w:val="nil"/>
              <w:left w:val="nil"/>
              <w:bottom w:val="single" w:sz="4" w:space="0" w:color="auto"/>
              <w:right w:val="nil"/>
            </w:tcBorders>
          </w:tcPr>
          <w:p w14:paraId="27A6DDF0" w14:textId="620E93B2" w:rsidR="00AE21E9" w:rsidRPr="00D6517C" w:rsidRDefault="0048195F" w:rsidP="00AA200A">
            <w:pPr>
              <w:jc w:val="center"/>
              <w:rPr>
                <w:rFonts w:ascii="Times New Roman" w:hAnsi="Times New Roman" w:cs="Times New Roman"/>
              </w:rPr>
            </w:pPr>
            <w:r w:rsidRPr="00D6517C">
              <w:rPr>
                <w:rFonts w:ascii="Times New Roman" w:hAnsi="Times New Roman" w:cs="Times New Roman"/>
              </w:rPr>
              <w:t>7</w:t>
            </w:r>
          </w:p>
        </w:tc>
      </w:tr>
    </w:tbl>
    <w:p w14:paraId="78AE6715" w14:textId="77777777" w:rsidR="00AE21E9" w:rsidRPr="00967A7B" w:rsidRDefault="00AE21E9" w:rsidP="00967A7B">
      <w:pPr>
        <w:spacing w:line="360" w:lineRule="auto"/>
        <w:jc w:val="both"/>
        <w:rPr>
          <w:rFonts w:ascii="Times New Roman" w:hAnsi="Times New Roman" w:cs="Times New Roman"/>
        </w:rPr>
      </w:pPr>
    </w:p>
    <w:p w14:paraId="393E0FF8" w14:textId="77777777" w:rsidR="007A472F" w:rsidRPr="00967A7B" w:rsidRDefault="007A472F" w:rsidP="00967A7B">
      <w:pPr>
        <w:spacing w:line="360" w:lineRule="auto"/>
        <w:jc w:val="both"/>
        <w:rPr>
          <w:rFonts w:ascii="Times New Roman" w:hAnsi="Times New Roman" w:cs="Times New Roman"/>
          <w:u w:val="single"/>
        </w:rPr>
      </w:pPr>
      <w:bookmarkStart w:id="4" w:name="_Toc138429107"/>
      <w:r w:rsidRPr="00967A7B">
        <w:rPr>
          <w:rFonts w:ascii="Times New Roman" w:hAnsi="Times New Roman" w:cs="Times New Roman"/>
          <w:u w:val="single"/>
        </w:rPr>
        <w:t>Análisis Descriptivo de las Variables</w:t>
      </w:r>
      <w:bookmarkEnd w:id="4"/>
    </w:p>
    <w:p w14:paraId="6975F423" w14:textId="66848E7D" w:rsidR="007A472F" w:rsidRPr="00967A7B" w:rsidRDefault="007A472F" w:rsidP="00967A7B">
      <w:pPr>
        <w:spacing w:line="360" w:lineRule="auto"/>
        <w:jc w:val="both"/>
        <w:rPr>
          <w:rFonts w:ascii="Times New Roman" w:hAnsi="Times New Roman" w:cs="Times New Roman"/>
        </w:rPr>
      </w:pPr>
      <w:r w:rsidRPr="00967A7B">
        <w:rPr>
          <w:rFonts w:ascii="Times New Roman" w:hAnsi="Times New Roman" w:cs="Times New Roman"/>
        </w:rPr>
        <w:t xml:space="preserve">En la Tabla II se presenta el análisis descriptivo de las variables. Con relación a la variable dependiente </w:t>
      </w:r>
      <m:oMath>
        <m:r>
          <w:rPr>
            <w:rFonts w:ascii="Cambria Math" w:hAnsi="Cambria Math" w:cs="Times New Roman"/>
          </w:rPr>
          <m:t>LnP</m:t>
        </m:r>
      </m:oMath>
      <w:r w:rsidRPr="00967A7B">
        <w:rPr>
          <w:rFonts w:ascii="Times New Roman" w:hAnsi="Times New Roman" w:cs="Times New Roman"/>
        </w:rPr>
        <w:t>, se observa que presenta un valor medio de 2,</w:t>
      </w:r>
      <w:r w:rsidR="0004579F" w:rsidRPr="00967A7B">
        <w:rPr>
          <w:rFonts w:ascii="Times New Roman" w:hAnsi="Times New Roman" w:cs="Times New Roman"/>
        </w:rPr>
        <w:t>276</w:t>
      </w:r>
      <w:r w:rsidRPr="00967A7B">
        <w:rPr>
          <w:rFonts w:ascii="Times New Roman" w:hAnsi="Times New Roman" w:cs="Times New Roman"/>
        </w:rPr>
        <w:t xml:space="preserve"> y una mediana cercana al anterior (</w:t>
      </w:r>
      <w:r w:rsidR="0004579F" w:rsidRPr="00967A7B">
        <w:rPr>
          <w:rFonts w:ascii="Times New Roman" w:hAnsi="Times New Roman" w:cs="Times New Roman"/>
        </w:rPr>
        <w:t>2,119</w:t>
      </w:r>
      <w:r w:rsidRPr="00967A7B">
        <w:rPr>
          <w:rFonts w:ascii="Times New Roman" w:hAnsi="Times New Roman" w:cs="Times New Roman"/>
        </w:rPr>
        <w:t>), con un reducido coeficiente de variación (0,</w:t>
      </w:r>
      <w:r w:rsidR="0004579F" w:rsidRPr="00967A7B">
        <w:rPr>
          <w:rFonts w:ascii="Times New Roman" w:hAnsi="Times New Roman" w:cs="Times New Roman"/>
        </w:rPr>
        <w:t>549</w:t>
      </w:r>
      <w:r w:rsidRPr="00967A7B">
        <w:rPr>
          <w:rFonts w:ascii="Times New Roman" w:hAnsi="Times New Roman" w:cs="Times New Roman"/>
        </w:rPr>
        <w:t>). Las medidas de forma -coeficiente de simetría y curtosis- indican que la variable presenta una leve asimetría derecha (0,</w:t>
      </w:r>
      <w:r w:rsidR="0004579F" w:rsidRPr="00967A7B">
        <w:rPr>
          <w:rFonts w:ascii="Times New Roman" w:hAnsi="Times New Roman" w:cs="Times New Roman"/>
        </w:rPr>
        <w:t>396</w:t>
      </w:r>
      <w:r w:rsidRPr="00967A7B">
        <w:rPr>
          <w:rFonts w:ascii="Times New Roman" w:hAnsi="Times New Roman" w:cs="Times New Roman"/>
        </w:rPr>
        <w:t>) y es levemente leptocúrtica (2,</w:t>
      </w:r>
      <w:r w:rsidR="0004579F" w:rsidRPr="00967A7B">
        <w:rPr>
          <w:rFonts w:ascii="Times New Roman" w:hAnsi="Times New Roman" w:cs="Times New Roman"/>
        </w:rPr>
        <w:t>530</w:t>
      </w:r>
      <w:r w:rsidRPr="00967A7B">
        <w:rPr>
          <w:rFonts w:ascii="Times New Roman" w:hAnsi="Times New Roman" w:cs="Times New Roman"/>
        </w:rPr>
        <w:t>). De esta manera las medidas descriptivas univariadas indican que la transformación de los precios de cotización a través del logaritmo natural permitió reducir la dispersión y mejorar la simetría de la variable dependiente.</w:t>
      </w:r>
    </w:p>
    <w:p w14:paraId="6D23C279" w14:textId="209EB56B" w:rsidR="007A472F" w:rsidRPr="00967A7B" w:rsidRDefault="007A472F" w:rsidP="00967A7B">
      <w:pPr>
        <w:spacing w:line="360" w:lineRule="auto"/>
        <w:jc w:val="both"/>
        <w:rPr>
          <w:rFonts w:ascii="Times New Roman" w:hAnsi="Times New Roman" w:cs="Times New Roman"/>
        </w:rPr>
      </w:pPr>
      <w:r w:rsidRPr="00967A7B">
        <w:rPr>
          <w:rFonts w:ascii="Times New Roman" w:hAnsi="Times New Roman" w:cs="Times New Roman"/>
        </w:rPr>
        <w:t xml:space="preserve">La variable explicativa </w:t>
      </w:r>
      <m:oMath>
        <m:r>
          <w:rPr>
            <w:rFonts w:ascii="Cambria Math" w:hAnsi="Cambria Math" w:cs="Times New Roman"/>
          </w:rPr>
          <m:t>PN</m:t>
        </m:r>
      </m:oMath>
      <w:r w:rsidRPr="00967A7B">
        <w:rPr>
          <w:rFonts w:ascii="Times New Roman" w:hAnsi="Times New Roman" w:cs="Times New Roman"/>
        </w:rPr>
        <w:t xml:space="preserve"> presenta un valor promedio de $</w:t>
      </w:r>
      <w:r w:rsidR="0004579F" w:rsidRPr="00967A7B">
        <w:rPr>
          <w:rFonts w:ascii="Times New Roman" w:hAnsi="Times New Roman" w:cs="Times New Roman"/>
        </w:rPr>
        <w:t>8</w:t>
      </w:r>
      <w:r w:rsidRPr="00967A7B">
        <w:rPr>
          <w:rFonts w:ascii="Times New Roman" w:hAnsi="Times New Roman" w:cs="Times New Roman"/>
        </w:rPr>
        <w:t>,</w:t>
      </w:r>
      <w:r w:rsidR="0004579F" w:rsidRPr="00967A7B">
        <w:rPr>
          <w:rFonts w:ascii="Times New Roman" w:hAnsi="Times New Roman" w:cs="Times New Roman"/>
        </w:rPr>
        <w:t>254</w:t>
      </w:r>
      <w:r w:rsidRPr="00967A7B">
        <w:rPr>
          <w:rFonts w:ascii="Times New Roman" w:hAnsi="Times New Roman" w:cs="Times New Roman"/>
        </w:rPr>
        <w:t xml:space="preserve"> y una mediana de $</w:t>
      </w:r>
      <w:r w:rsidR="0004579F" w:rsidRPr="00967A7B">
        <w:rPr>
          <w:rFonts w:ascii="Times New Roman" w:hAnsi="Times New Roman" w:cs="Times New Roman"/>
        </w:rPr>
        <w:t>4</w:t>
      </w:r>
      <w:r w:rsidRPr="00967A7B">
        <w:rPr>
          <w:rFonts w:ascii="Times New Roman" w:hAnsi="Times New Roman" w:cs="Times New Roman"/>
        </w:rPr>
        <w:t>,3</w:t>
      </w:r>
      <w:r w:rsidR="0004579F" w:rsidRPr="00967A7B">
        <w:rPr>
          <w:rFonts w:ascii="Times New Roman" w:hAnsi="Times New Roman" w:cs="Times New Roman"/>
        </w:rPr>
        <w:t>98</w:t>
      </w:r>
      <w:r w:rsidRPr="00967A7B">
        <w:rPr>
          <w:rFonts w:ascii="Times New Roman" w:hAnsi="Times New Roman" w:cs="Times New Roman"/>
        </w:rPr>
        <w:t xml:space="preserve"> con un coeficiente de variación de </w:t>
      </w:r>
      <w:r w:rsidR="0004579F" w:rsidRPr="00967A7B">
        <w:rPr>
          <w:rFonts w:ascii="Times New Roman" w:hAnsi="Times New Roman" w:cs="Times New Roman"/>
        </w:rPr>
        <w:t>1</w:t>
      </w:r>
      <w:r w:rsidRPr="00967A7B">
        <w:rPr>
          <w:rFonts w:ascii="Times New Roman" w:hAnsi="Times New Roman" w:cs="Times New Roman"/>
        </w:rPr>
        <w:t>,</w:t>
      </w:r>
      <w:r w:rsidR="0004579F" w:rsidRPr="00967A7B">
        <w:rPr>
          <w:rFonts w:ascii="Times New Roman" w:hAnsi="Times New Roman" w:cs="Times New Roman"/>
        </w:rPr>
        <w:t>228</w:t>
      </w:r>
      <w:r w:rsidRPr="00967A7B">
        <w:rPr>
          <w:rFonts w:ascii="Times New Roman" w:hAnsi="Times New Roman" w:cs="Times New Roman"/>
        </w:rPr>
        <w:t>, el coeficiente de simetría (</w:t>
      </w:r>
      <w:r w:rsidR="0004579F" w:rsidRPr="00967A7B">
        <w:rPr>
          <w:rFonts w:ascii="Times New Roman" w:hAnsi="Times New Roman" w:cs="Times New Roman"/>
        </w:rPr>
        <w:t>3</w:t>
      </w:r>
      <w:r w:rsidRPr="00967A7B">
        <w:rPr>
          <w:rFonts w:ascii="Times New Roman" w:hAnsi="Times New Roman" w:cs="Times New Roman"/>
        </w:rPr>
        <w:t>,0</w:t>
      </w:r>
      <w:r w:rsidR="0004579F" w:rsidRPr="00967A7B">
        <w:rPr>
          <w:rFonts w:ascii="Times New Roman" w:hAnsi="Times New Roman" w:cs="Times New Roman"/>
        </w:rPr>
        <w:t>49</w:t>
      </w:r>
      <w:r w:rsidRPr="00967A7B">
        <w:rPr>
          <w:rFonts w:ascii="Times New Roman" w:hAnsi="Times New Roman" w:cs="Times New Roman"/>
        </w:rPr>
        <w:t>) indica una asimetría derecha y la curtosis (</w:t>
      </w:r>
      <w:r w:rsidR="0004579F" w:rsidRPr="00967A7B">
        <w:rPr>
          <w:rFonts w:ascii="Times New Roman" w:hAnsi="Times New Roman" w:cs="Times New Roman"/>
        </w:rPr>
        <w:t>14</w:t>
      </w:r>
      <w:r w:rsidRPr="00967A7B">
        <w:rPr>
          <w:rFonts w:ascii="Times New Roman" w:hAnsi="Times New Roman" w:cs="Times New Roman"/>
        </w:rPr>
        <w:t>,</w:t>
      </w:r>
      <w:r w:rsidR="0004579F" w:rsidRPr="00967A7B">
        <w:rPr>
          <w:rFonts w:ascii="Times New Roman" w:hAnsi="Times New Roman" w:cs="Times New Roman"/>
        </w:rPr>
        <w:t>36</w:t>
      </w:r>
      <w:r w:rsidRPr="00967A7B">
        <w:rPr>
          <w:rFonts w:ascii="Times New Roman" w:hAnsi="Times New Roman" w:cs="Times New Roman"/>
        </w:rPr>
        <w:t xml:space="preserve">) muestra una forma leptocúrtica. Con relación a la variable </w:t>
      </w:r>
      <m:oMath>
        <m:r>
          <w:rPr>
            <w:rFonts w:ascii="Cambria Math" w:hAnsi="Cambria Math" w:cs="Times New Roman"/>
          </w:rPr>
          <m:t>Rdo</m:t>
        </m:r>
      </m:oMath>
      <w:r w:rsidRPr="00967A7B">
        <w:rPr>
          <w:rFonts w:ascii="Times New Roman" w:hAnsi="Times New Roman" w:cs="Times New Roman"/>
        </w:rPr>
        <w:t xml:space="preserve"> su media es de $2,</w:t>
      </w:r>
      <w:r w:rsidR="0004579F" w:rsidRPr="00967A7B">
        <w:rPr>
          <w:rFonts w:ascii="Times New Roman" w:hAnsi="Times New Roman" w:cs="Times New Roman"/>
        </w:rPr>
        <w:t>145</w:t>
      </w:r>
      <w:r w:rsidRPr="00967A7B">
        <w:rPr>
          <w:rFonts w:ascii="Times New Roman" w:hAnsi="Times New Roman" w:cs="Times New Roman"/>
        </w:rPr>
        <w:t xml:space="preserve"> y la mediana $</w:t>
      </w:r>
      <w:r w:rsidR="0004579F" w:rsidRPr="00967A7B">
        <w:rPr>
          <w:rFonts w:ascii="Times New Roman" w:hAnsi="Times New Roman" w:cs="Times New Roman"/>
        </w:rPr>
        <w:t>1</w:t>
      </w:r>
      <w:r w:rsidRPr="00967A7B">
        <w:rPr>
          <w:rFonts w:ascii="Times New Roman" w:hAnsi="Times New Roman" w:cs="Times New Roman"/>
        </w:rPr>
        <w:t>,</w:t>
      </w:r>
      <w:r w:rsidR="0004579F" w:rsidRPr="00967A7B">
        <w:rPr>
          <w:rFonts w:ascii="Times New Roman" w:hAnsi="Times New Roman" w:cs="Times New Roman"/>
        </w:rPr>
        <w:t>019</w:t>
      </w:r>
      <w:r w:rsidRPr="00967A7B">
        <w:rPr>
          <w:rFonts w:ascii="Times New Roman" w:hAnsi="Times New Roman" w:cs="Times New Roman"/>
        </w:rPr>
        <w:t xml:space="preserve">, presenta una mayor dispersión que la variable </w:t>
      </w:r>
      <m:oMath>
        <m:r>
          <w:rPr>
            <w:rFonts w:ascii="Cambria Math" w:hAnsi="Cambria Math" w:cs="Times New Roman"/>
          </w:rPr>
          <m:t>PN</m:t>
        </m:r>
      </m:oMath>
      <w:r w:rsidRPr="00967A7B">
        <w:rPr>
          <w:rFonts w:ascii="Times New Roman" w:hAnsi="Times New Roman" w:cs="Times New Roman"/>
        </w:rPr>
        <w:t xml:space="preserve"> con un coeficiente de variación de </w:t>
      </w:r>
      <w:r w:rsidR="0004579F" w:rsidRPr="00967A7B">
        <w:rPr>
          <w:rFonts w:ascii="Times New Roman" w:hAnsi="Times New Roman" w:cs="Times New Roman"/>
        </w:rPr>
        <w:t>1</w:t>
      </w:r>
      <w:r w:rsidRPr="00967A7B">
        <w:rPr>
          <w:rFonts w:ascii="Times New Roman" w:hAnsi="Times New Roman" w:cs="Times New Roman"/>
        </w:rPr>
        <w:t>,</w:t>
      </w:r>
      <w:r w:rsidR="0004579F" w:rsidRPr="00967A7B">
        <w:rPr>
          <w:rFonts w:ascii="Times New Roman" w:hAnsi="Times New Roman" w:cs="Times New Roman"/>
        </w:rPr>
        <w:t>385</w:t>
      </w:r>
      <w:r w:rsidRPr="00967A7B">
        <w:rPr>
          <w:rFonts w:ascii="Times New Roman" w:hAnsi="Times New Roman" w:cs="Times New Roman"/>
        </w:rPr>
        <w:t xml:space="preserve">, </w:t>
      </w:r>
      <w:r w:rsidR="0004579F" w:rsidRPr="00967A7B">
        <w:rPr>
          <w:rFonts w:ascii="Times New Roman" w:hAnsi="Times New Roman" w:cs="Times New Roman"/>
        </w:rPr>
        <w:t>meno</w:t>
      </w:r>
      <w:r w:rsidRPr="00967A7B">
        <w:rPr>
          <w:rFonts w:ascii="Times New Roman" w:hAnsi="Times New Roman" w:cs="Times New Roman"/>
        </w:rPr>
        <w:t xml:space="preserve"> asimetría derecha </w:t>
      </w:r>
      <w:r w:rsidR="0004579F" w:rsidRPr="00967A7B">
        <w:rPr>
          <w:rFonts w:ascii="Times New Roman" w:hAnsi="Times New Roman" w:cs="Times New Roman"/>
        </w:rPr>
        <w:t>(2</w:t>
      </w:r>
      <w:r w:rsidRPr="00967A7B">
        <w:rPr>
          <w:rFonts w:ascii="Times New Roman" w:hAnsi="Times New Roman" w:cs="Times New Roman"/>
        </w:rPr>
        <w:t>,</w:t>
      </w:r>
      <w:r w:rsidR="0004579F" w:rsidRPr="00967A7B">
        <w:rPr>
          <w:rFonts w:ascii="Times New Roman" w:hAnsi="Times New Roman" w:cs="Times New Roman"/>
        </w:rPr>
        <w:t>632</w:t>
      </w:r>
      <w:r w:rsidRPr="00967A7B">
        <w:rPr>
          <w:rFonts w:ascii="Times New Roman" w:hAnsi="Times New Roman" w:cs="Times New Roman"/>
        </w:rPr>
        <w:t>) y una forma m</w:t>
      </w:r>
      <w:r w:rsidR="0004579F" w:rsidRPr="00967A7B">
        <w:rPr>
          <w:rFonts w:ascii="Times New Roman" w:hAnsi="Times New Roman" w:cs="Times New Roman"/>
        </w:rPr>
        <w:t>enos</w:t>
      </w:r>
      <w:r w:rsidRPr="00967A7B">
        <w:rPr>
          <w:rFonts w:ascii="Times New Roman" w:hAnsi="Times New Roman" w:cs="Times New Roman"/>
        </w:rPr>
        <w:t xml:space="preserve"> leptocúrtica con una curtosis de </w:t>
      </w:r>
      <w:r w:rsidR="0004579F" w:rsidRPr="00967A7B">
        <w:rPr>
          <w:rFonts w:ascii="Times New Roman" w:hAnsi="Times New Roman" w:cs="Times New Roman"/>
        </w:rPr>
        <w:t>11</w:t>
      </w:r>
      <w:r w:rsidRPr="00967A7B">
        <w:rPr>
          <w:rFonts w:ascii="Times New Roman" w:hAnsi="Times New Roman" w:cs="Times New Roman"/>
        </w:rPr>
        <w:t>,</w:t>
      </w:r>
      <w:r w:rsidR="0004579F" w:rsidRPr="00967A7B">
        <w:rPr>
          <w:rFonts w:ascii="Times New Roman" w:hAnsi="Times New Roman" w:cs="Times New Roman"/>
        </w:rPr>
        <w:t>080</w:t>
      </w:r>
      <w:r w:rsidRPr="00967A7B">
        <w:rPr>
          <w:rFonts w:ascii="Times New Roman" w:hAnsi="Times New Roman" w:cs="Times New Roman"/>
        </w:rPr>
        <w:t>.</w:t>
      </w:r>
    </w:p>
    <w:p w14:paraId="0FE87B0B" w14:textId="227C0B53" w:rsidR="007A472F" w:rsidRPr="00967A7B" w:rsidRDefault="007A472F" w:rsidP="00967A7B">
      <w:pPr>
        <w:spacing w:line="360" w:lineRule="auto"/>
        <w:jc w:val="both"/>
        <w:rPr>
          <w:rFonts w:ascii="Times New Roman" w:hAnsi="Times New Roman" w:cs="Times New Roman"/>
        </w:rPr>
      </w:pPr>
      <w:r w:rsidRPr="00967A7B">
        <w:rPr>
          <w:rFonts w:ascii="Times New Roman" w:hAnsi="Times New Roman" w:cs="Times New Roman"/>
        </w:rPr>
        <w:t xml:space="preserve">El análisis descriptivo muestra que las variables predictoras presentan una </w:t>
      </w:r>
      <w:r w:rsidR="0004579F" w:rsidRPr="00967A7B">
        <w:rPr>
          <w:rFonts w:ascii="Times New Roman" w:hAnsi="Times New Roman" w:cs="Times New Roman"/>
        </w:rPr>
        <w:t>mayor</w:t>
      </w:r>
      <w:r w:rsidRPr="00967A7B">
        <w:rPr>
          <w:rFonts w:ascii="Times New Roman" w:hAnsi="Times New Roman" w:cs="Times New Roman"/>
        </w:rPr>
        <w:t xml:space="preserve"> dispersión e importante asimetría derecha, especialmente la variable</w:t>
      </w:r>
      <w:r w:rsidR="0004579F" w:rsidRPr="00967A7B">
        <w:rPr>
          <w:rFonts w:ascii="Times New Roman" w:hAnsi="Times New Roman" w:cs="Times New Roman"/>
        </w:rPr>
        <w:t xml:space="preserve"> </w:t>
      </w:r>
      <m:oMath>
        <m:r>
          <w:rPr>
            <w:rFonts w:ascii="Cambria Math" w:hAnsi="Cambria Math" w:cs="Times New Roman"/>
          </w:rPr>
          <m:t>PN</m:t>
        </m:r>
      </m:oMath>
      <w:r w:rsidRPr="00967A7B">
        <w:rPr>
          <w:rFonts w:ascii="Times New Roman" w:hAnsi="Times New Roman" w:cs="Times New Roman"/>
        </w:rPr>
        <w:t xml:space="preserve"> </w:t>
      </w:r>
      <m:oMath>
        <m:r>
          <m:rPr>
            <m:sty m:val="p"/>
          </m:rPr>
          <w:rPr>
            <w:rFonts w:ascii="Cambria Math" w:hAnsi="Cambria Math" w:cs="Times New Roman"/>
          </w:rPr>
          <m:t xml:space="preserve">. </m:t>
        </m:r>
      </m:oMath>
      <w:r w:rsidRPr="00967A7B">
        <w:rPr>
          <w:rFonts w:ascii="Times New Roman" w:hAnsi="Times New Roman" w:cs="Times New Roman"/>
        </w:rPr>
        <w:t xml:space="preserve"> Sin embargo, este comportamiento no se observa en la variable dependiente </w:t>
      </w:r>
      <m:oMath>
        <m:r>
          <w:rPr>
            <w:rFonts w:ascii="Cambria Math" w:hAnsi="Cambria Math" w:cs="Times New Roman"/>
          </w:rPr>
          <m:t>LnP</m:t>
        </m:r>
      </m:oMath>
      <w:r w:rsidRPr="00967A7B">
        <w:rPr>
          <w:rFonts w:ascii="Times New Roman" w:hAnsi="Times New Roman" w:cs="Times New Roman"/>
        </w:rPr>
        <w:t xml:space="preserve"> que es levemente asimétrica derecha y con una reducida dispersión.</w:t>
      </w:r>
    </w:p>
    <w:p w14:paraId="64C51BCD" w14:textId="37C27461" w:rsidR="007A472F" w:rsidRPr="00967A7B" w:rsidRDefault="007A472F" w:rsidP="00967A7B">
      <w:pPr>
        <w:spacing w:after="120" w:line="360" w:lineRule="auto"/>
        <w:jc w:val="both"/>
        <w:rPr>
          <w:rFonts w:ascii="Times New Roman" w:hAnsi="Times New Roman" w:cs="Times New Roman"/>
          <w:b/>
          <w:bCs/>
        </w:rPr>
      </w:pPr>
      <w:r w:rsidRPr="00967A7B">
        <w:rPr>
          <w:rFonts w:ascii="Times New Roman" w:hAnsi="Times New Roman" w:cs="Times New Roman"/>
          <w:b/>
          <w:bCs/>
        </w:rPr>
        <w:t>Tabla II</w:t>
      </w:r>
    </w:p>
    <w:p w14:paraId="59E2B63C" w14:textId="24EE5AFB" w:rsidR="007A472F" w:rsidRPr="00967A7B" w:rsidRDefault="007A472F" w:rsidP="00967A7B">
      <w:pPr>
        <w:spacing w:after="120" w:line="360" w:lineRule="auto"/>
        <w:jc w:val="both"/>
        <w:rPr>
          <w:rFonts w:ascii="Times New Roman" w:hAnsi="Times New Roman" w:cs="Times New Roman"/>
          <w:i/>
          <w:iCs/>
        </w:rPr>
      </w:pPr>
      <w:r w:rsidRPr="00967A7B">
        <w:rPr>
          <w:rFonts w:ascii="Times New Roman" w:hAnsi="Times New Roman" w:cs="Times New Roman"/>
          <w:i/>
          <w:iCs/>
        </w:rPr>
        <w:t>Estadísticos descriptivos de las variables</w:t>
      </w:r>
    </w:p>
    <w:tbl>
      <w:tblPr>
        <w:tblStyle w:val="Tablaconcuadrcula"/>
        <w:tblW w:w="0" w:type="auto"/>
        <w:jc w:val="center"/>
        <w:tblBorders>
          <w:bottom w:val="none" w:sz="0" w:space="0" w:color="auto"/>
        </w:tblBorders>
        <w:tblLook w:val="04A0" w:firstRow="1" w:lastRow="0" w:firstColumn="1" w:lastColumn="0" w:noHBand="0" w:noVBand="1"/>
      </w:tblPr>
      <w:tblGrid>
        <w:gridCol w:w="1141"/>
        <w:gridCol w:w="814"/>
        <w:gridCol w:w="986"/>
        <w:gridCol w:w="821"/>
        <w:gridCol w:w="768"/>
        <w:gridCol w:w="962"/>
        <w:gridCol w:w="950"/>
        <w:gridCol w:w="925"/>
        <w:gridCol w:w="962"/>
      </w:tblGrid>
      <w:tr w:rsidR="003D2540" w14:paraId="30A47DBA" w14:textId="77777777" w:rsidTr="00AA200A">
        <w:trPr>
          <w:trHeight w:val="284"/>
          <w:jc w:val="center"/>
        </w:trPr>
        <w:tc>
          <w:tcPr>
            <w:tcW w:w="1141" w:type="dxa"/>
            <w:tcBorders>
              <w:top w:val="single" w:sz="4" w:space="0" w:color="auto"/>
              <w:left w:val="nil"/>
              <w:bottom w:val="single" w:sz="4" w:space="0" w:color="auto"/>
              <w:right w:val="nil"/>
            </w:tcBorders>
            <w:shd w:val="clear" w:color="auto" w:fill="D0CECE" w:themeFill="background2" w:themeFillShade="E6"/>
          </w:tcPr>
          <w:p w14:paraId="54F7D48E" w14:textId="77777777" w:rsidR="003D2540" w:rsidRPr="00967A7B" w:rsidRDefault="003D2540" w:rsidP="00AA200A">
            <w:pPr>
              <w:jc w:val="center"/>
              <w:rPr>
                <w:rFonts w:ascii="Times New Roman" w:hAnsi="Times New Roman" w:cs="Times New Roman"/>
              </w:rPr>
            </w:pPr>
            <w:bookmarkStart w:id="5" w:name="_Hlk135296572"/>
            <w:r w:rsidRPr="00967A7B">
              <w:rPr>
                <w:rFonts w:ascii="Times New Roman" w:hAnsi="Times New Roman" w:cs="Times New Roman"/>
              </w:rPr>
              <w:t>Variable</w:t>
            </w:r>
          </w:p>
        </w:tc>
        <w:tc>
          <w:tcPr>
            <w:tcW w:w="814" w:type="dxa"/>
            <w:tcBorders>
              <w:top w:val="single" w:sz="4" w:space="0" w:color="auto"/>
              <w:left w:val="nil"/>
              <w:bottom w:val="single" w:sz="4" w:space="0" w:color="auto"/>
              <w:right w:val="nil"/>
            </w:tcBorders>
            <w:shd w:val="clear" w:color="auto" w:fill="D0CECE" w:themeFill="background2" w:themeFillShade="E6"/>
          </w:tcPr>
          <w:p w14:paraId="42A2287F" w14:textId="77777777" w:rsidR="003D2540" w:rsidRPr="00967A7B" w:rsidRDefault="003D2540" w:rsidP="00AA200A">
            <w:pPr>
              <w:jc w:val="center"/>
              <w:rPr>
                <w:rFonts w:ascii="Times New Roman" w:hAnsi="Times New Roman" w:cs="Times New Roman"/>
              </w:rPr>
            </w:pPr>
            <w:r w:rsidRPr="00967A7B">
              <w:rPr>
                <w:rFonts w:ascii="Times New Roman" w:hAnsi="Times New Roman" w:cs="Times New Roman"/>
              </w:rPr>
              <w:t>Media</w:t>
            </w:r>
          </w:p>
        </w:tc>
        <w:tc>
          <w:tcPr>
            <w:tcW w:w="882" w:type="dxa"/>
            <w:tcBorders>
              <w:top w:val="single" w:sz="4" w:space="0" w:color="auto"/>
              <w:left w:val="nil"/>
              <w:bottom w:val="single" w:sz="4" w:space="0" w:color="auto"/>
              <w:right w:val="nil"/>
            </w:tcBorders>
            <w:shd w:val="clear" w:color="auto" w:fill="D0CECE" w:themeFill="background2" w:themeFillShade="E6"/>
          </w:tcPr>
          <w:p w14:paraId="61F872F7" w14:textId="77777777" w:rsidR="003D2540" w:rsidRPr="00967A7B" w:rsidRDefault="003D2540" w:rsidP="00AA200A">
            <w:pPr>
              <w:jc w:val="center"/>
              <w:rPr>
                <w:rFonts w:ascii="Times New Roman" w:hAnsi="Times New Roman" w:cs="Times New Roman"/>
              </w:rPr>
            </w:pPr>
            <w:r w:rsidRPr="00967A7B">
              <w:rPr>
                <w:rFonts w:ascii="Times New Roman" w:hAnsi="Times New Roman" w:cs="Times New Roman"/>
              </w:rPr>
              <w:t>Mediana</w:t>
            </w:r>
          </w:p>
        </w:tc>
        <w:tc>
          <w:tcPr>
            <w:tcW w:w="816" w:type="dxa"/>
            <w:tcBorders>
              <w:top w:val="single" w:sz="4" w:space="0" w:color="auto"/>
              <w:left w:val="nil"/>
              <w:bottom w:val="single" w:sz="4" w:space="0" w:color="auto"/>
              <w:right w:val="nil"/>
            </w:tcBorders>
            <w:shd w:val="clear" w:color="auto" w:fill="D0CECE" w:themeFill="background2" w:themeFillShade="E6"/>
          </w:tcPr>
          <w:p w14:paraId="135F5DFA" w14:textId="77777777" w:rsidR="003D2540" w:rsidRPr="00967A7B" w:rsidRDefault="003D2540" w:rsidP="00AA200A">
            <w:pPr>
              <w:jc w:val="center"/>
              <w:rPr>
                <w:rFonts w:ascii="Times New Roman" w:hAnsi="Times New Roman" w:cs="Times New Roman"/>
              </w:rPr>
            </w:pPr>
            <w:r w:rsidRPr="00967A7B">
              <w:rPr>
                <w:rFonts w:ascii="Times New Roman" w:hAnsi="Times New Roman" w:cs="Times New Roman"/>
              </w:rPr>
              <w:t>Desv. Est.</w:t>
            </w:r>
          </w:p>
        </w:tc>
        <w:tc>
          <w:tcPr>
            <w:tcW w:w="768" w:type="dxa"/>
            <w:tcBorders>
              <w:top w:val="single" w:sz="4" w:space="0" w:color="auto"/>
              <w:left w:val="nil"/>
              <w:bottom w:val="single" w:sz="4" w:space="0" w:color="auto"/>
              <w:right w:val="nil"/>
            </w:tcBorders>
            <w:shd w:val="clear" w:color="auto" w:fill="D0CECE" w:themeFill="background2" w:themeFillShade="E6"/>
          </w:tcPr>
          <w:p w14:paraId="4CA4F70B" w14:textId="77777777" w:rsidR="003D2540" w:rsidRPr="00967A7B" w:rsidRDefault="003D2540" w:rsidP="00AA200A">
            <w:pPr>
              <w:jc w:val="center"/>
              <w:rPr>
                <w:rFonts w:ascii="Times New Roman" w:hAnsi="Times New Roman" w:cs="Times New Roman"/>
              </w:rPr>
            </w:pPr>
            <w:r w:rsidRPr="00967A7B">
              <w:rPr>
                <w:rFonts w:ascii="Times New Roman" w:hAnsi="Times New Roman" w:cs="Times New Roman"/>
              </w:rPr>
              <w:t>Coef. Var.</w:t>
            </w:r>
          </w:p>
        </w:tc>
        <w:tc>
          <w:tcPr>
            <w:tcW w:w="873" w:type="dxa"/>
            <w:tcBorders>
              <w:top w:val="single" w:sz="4" w:space="0" w:color="auto"/>
              <w:left w:val="nil"/>
              <w:bottom w:val="single" w:sz="4" w:space="0" w:color="auto"/>
              <w:right w:val="nil"/>
            </w:tcBorders>
            <w:shd w:val="clear" w:color="auto" w:fill="D0CECE" w:themeFill="background2" w:themeFillShade="E6"/>
          </w:tcPr>
          <w:p w14:paraId="6FA635D0" w14:textId="77777777" w:rsidR="003D2540" w:rsidRPr="00967A7B" w:rsidRDefault="003D2540" w:rsidP="00AA200A">
            <w:pPr>
              <w:jc w:val="center"/>
              <w:rPr>
                <w:rFonts w:ascii="Times New Roman" w:hAnsi="Times New Roman" w:cs="Times New Roman"/>
              </w:rPr>
            </w:pPr>
            <w:r w:rsidRPr="00967A7B">
              <w:rPr>
                <w:rFonts w:ascii="Times New Roman" w:hAnsi="Times New Roman" w:cs="Times New Roman"/>
              </w:rPr>
              <w:t>Simetría</w:t>
            </w:r>
          </w:p>
        </w:tc>
        <w:tc>
          <w:tcPr>
            <w:tcW w:w="868" w:type="dxa"/>
            <w:tcBorders>
              <w:top w:val="single" w:sz="4" w:space="0" w:color="auto"/>
              <w:left w:val="nil"/>
              <w:bottom w:val="single" w:sz="4" w:space="0" w:color="auto"/>
              <w:right w:val="nil"/>
            </w:tcBorders>
            <w:shd w:val="clear" w:color="auto" w:fill="D0CECE" w:themeFill="background2" w:themeFillShade="E6"/>
          </w:tcPr>
          <w:p w14:paraId="566B5E14" w14:textId="77777777" w:rsidR="003D2540" w:rsidRPr="00967A7B" w:rsidRDefault="003D2540" w:rsidP="00AA200A">
            <w:pPr>
              <w:jc w:val="center"/>
              <w:rPr>
                <w:rFonts w:ascii="Times New Roman" w:hAnsi="Times New Roman" w:cs="Times New Roman"/>
              </w:rPr>
            </w:pPr>
            <w:r w:rsidRPr="00967A7B">
              <w:rPr>
                <w:rFonts w:ascii="Times New Roman" w:hAnsi="Times New Roman" w:cs="Times New Roman"/>
              </w:rPr>
              <w:t>Curtosis</w:t>
            </w:r>
          </w:p>
        </w:tc>
        <w:tc>
          <w:tcPr>
            <w:tcW w:w="835" w:type="dxa"/>
            <w:tcBorders>
              <w:top w:val="single" w:sz="4" w:space="0" w:color="auto"/>
              <w:left w:val="nil"/>
              <w:bottom w:val="single" w:sz="4" w:space="0" w:color="auto"/>
              <w:right w:val="nil"/>
            </w:tcBorders>
            <w:shd w:val="clear" w:color="auto" w:fill="D0CECE" w:themeFill="background2" w:themeFillShade="E6"/>
          </w:tcPr>
          <w:p w14:paraId="7005064C" w14:textId="77777777" w:rsidR="003D2540" w:rsidRPr="00967A7B" w:rsidRDefault="003D2540" w:rsidP="00AA200A">
            <w:pPr>
              <w:jc w:val="center"/>
              <w:rPr>
                <w:rFonts w:ascii="Times New Roman" w:hAnsi="Times New Roman" w:cs="Times New Roman"/>
              </w:rPr>
            </w:pPr>
            <w:r w:rsidRPr="00967A7B">
              <w:rPr>
                <w:rFonts w:ascii="Times New Roman" w:hAnsi="Times New Roman" w:cs="Times New Roman"/>
              </w:rPr>
              <w:t>Mínimo</w:t>
            </w:r>
          </w:p>
        </w:tc>
        <w:tc>
          <w:tcPr>
            <w:tcW w:w="912" w:type="dxa"/>
            <w:tcBorders>
              <w:top w:val="single" w:sz="4" w:space="0" w:color="auto"/>
              <w:left w:val="nil"/>
              <w:bottom w:val="single" w:sz="4" w:space="0" w:color="auto"/>
              <w:right w:val="nil"/>
            </w:tcBorders>
            <w:shd w:val="clear" w:color="auto" w:fill="D0CECE" w:themeFill="background2" w:themeFillShade="E6"/>
          </w:tcPr>
          <w:p w14:paraId="0BCF7412" w14:textId="77777777" w:rsidR="003D2540" w:rsidRPr="00967A7B" w:rsidRDefault="003D2540" w:rsidP="00AA200A">
            <w:pPr>
              <w:jc w:val="center"/>
              <w:rPr>
                <w:rFonts w:ascii="Times New Roman" w:hAnsi="Times New Roman" w:cs="Times New Roman"/>
              </w:rPr>
            </w:pPr>
            <w:r w:rsidRPr="00967A7B">
              <w:rPr>
                <w:rFonts w:ascii="Times New Roman" w:hAnsi="Times New Roman" w:cs="Times New Roman"/>
              </w:rPr>
              <w:t>Máximo</w:t>
            </w:r>
          </w:p>
        </w:tc>
      </w:tr>
      <w:tr w:rsidR="003D2540" w14:paraId="51285611" w14:textId="77777777" w:rsidTr="00AA200A">
        <w:trPr>
          <w:trHeight w:val="284"/>
          <w:jc w:val="center"/>
        </w:trPr>
        <w:tc>
          <w:tcPr>
            <w:tcW w:w="1141" w:type="dxa"/>
            <w:tcBorders>
              <w:top w:val="nil"/>
              <w:left w:val="nil"/>
              <w:bottom w:val="nil"/>
              <w:right w:val="nil"/>
            </w:tcBorders>
          </w:tcPr>
          <w:p w14:paraId="16843FB6" w14:textId="77777777" w:rsidR="003D2540" w:rsidRPr="00967A7B" w:rsidRDefault="003D2540" w:rsidP="00AA200A">
            <w:pPr>
              <w:jc w:val="both"/>
              <w:rPr>
                <w:rFonts w:ascii="Times New Roman" w:hAnsi="Times New Roman" w:cs="Times New Roman"/>
              </w:rPr>
            </w:pPr>
            <m:oMathPara>
              <m:oMathParaPr>
                <m:jc m:val="left"/>
              </m:oMathParaPr>
              <m:oMath>
                <m:r>
                  <w:rPr>
                    <w:rFonts w:ascii="Cambria Math" w:hAnsi="Cambria Math" w:cs="Times New Roman"/>
                  </w:rPr>
                  <m:t>LnP</m:t>
                </m:r>
              </m:oMath>
            </m:oMathPara>
          </w:p>
        </w:tc>
        <w:tc>
          <w:tcPr>
            <w:tcW w:w="814" w:type="dxa"/>
            <w:tcBorders>
              <w:top w:val="nil"/>
              <w:left w:val="nil"/>
              <w:bottom w:val="nil"/>
              <w:right w:val="nil"/>
            </w:tcBorders>
          </w:tcPr>
          <w:p w14:paraId="6A8CF684" w14:textId="27E47283" w:rsidR="003D2540" w:rsidRPr="00967A7B" w:rsidRDefault="003D2540" w:rsidP="00AA200A">
            <w:pPr>
              <w:jc w:val="right"/>
              <w:rPr>
                <w:rFonts w:ascii="Times New Roman" w:hAnsi="Times New Roman" w:cs="Times New Roman"/>
              </w:rPr>
            </w:pPr>
            <w:r w:rsidRPr="00967A7B">
              <w:rPr>
                <w:rFonts w:ascii="Times New Roman" w:hAnsi="Times New Roman" w:cs="Times New Roman"/>
              </w:rPr>
              <w:t>2,276</w:t>
            </w:r>
          </w:p>
        </w:tc>
        <w:tc>
          <w:tcPr>
            <w:tcW w:w="882" w:type="dxa"/>
            <w:tcBorders>
              <w:top w:val="nil"/>
              <w:left w:val="nil"/>
              <w:bottom w:val="nil"/>
              <w:right w:val="nil"/>
            </w:tcBorders>
          </w:tcPr>
          <w:p w14:paraId="3CDA1825" w14:textId="7693D8A8" w:rsidR="003D2540" w:rsidRPr="00967A7B" w:rsidRDefault="003D2540" w:rsidP="00AA200A">
            <w:pPr>
              <w:jc w:val="right"/>
              <w:rPr>
                <w:rFonts w:ascii="Times New Roman" w:hAnsi="Times New Roman" w:cs="Times New Roman"/>
              </w:rPr>
            </w:pPr>
            <w:r w:rsidRPr="00967A7B">
              <w:rPr>
                <w:rFonts w:ascii="Times New Roman" w:hAnsi="Times New Roman" w:cs="Times New Roman"/>
              </w:rPr>
              <w:t>2,119</w:t>
            </w:r>
          </w:p>
        </w:tc>
        <w:tc>
          <w:tcPr>
            <w:tcW w:w="816" w:type="dxa"/>
            <w:tcBorders>
              <w:top w:val="nil"/>
              <w:left w:val="nil"/>
              <w:bottom w:val="nil"/>
              <w:right w:val="nil"/>
            </w:tcBorders>
          </w:tcPr>
          <w:p w14:paraId="15DD1664" w14:textId="2E8A29AD" w:rsidR="003D2540" w:rsidRPr="00967A7B" w:rsidRDefault="003D2540" w:rsidP="00AA200A">
            <w:pPr>
              <w:jc w:val="right"/>
              <w:rPr>
                <w:rFonts w:ascii="Times New Roman" w:hAnsi="Times New Roman" w:cs="Times New Roman"/>
              </w:rPr>
            </w:pPr>
            <w:r w:rsidRPr="00967A7B">
              <w:rPr>
                <w:rFonts w:ascii="Times New Roman" w:hAnsi="Times New Roman" w:cs="Times New Roman"/>
              </w:rPr>
              <w:t>1,250</w:t>
            </w:r>
          </w:p>
        </w:tc>
        <w:tc>
          <w:tcPr>
            <w:tcW w:w="768" w:type="dxa"/>
            <w:tcBorders>
              <w:top w:val="nil"/>
              <w:left w:val="nil"/>
              <w:bottom w:val="nil"/>
              <w:right w:val="nil"/>
            </w:tcBorders>
          </w:tcPr>
          <w:p w14:paraId="5DB0B0B9" w14:textId="09F92CEC" w:rsidR="003D2540" w:rsidRPr="00967A7B" w:rsidRDefault="00C96344" w:rsidP="00AA200A">
            <w:pPr>
              <w:jc w:val="right"/>
              <w:rPr>
                <w:rFonts w:ascii="Times New Roman" w:hAnsi="Times New Roman" w:cs="Times New Roman"/>
              </w:rPr>
            </w:pPr>
            <w:r w:rsidRPr="00967A7B">
              <w:rPr>
                <w:rFonts w:ascii="Times New Roman" w:hAnsi="Times New Roman" w:cs="Times New Roman"/>
              </w:rPr>
              <w:t>0,549</w:t>
            </w:r>
          </w:p>
        </w:tc>
        <w:tc>
          <w:tcPr>
            <w:tcW w:w="873" w:type="dxa"/>
            <w:tcBorders>
              <w:top w:val="nil"/>
              <w:left w:val="nil"/>
              <w:bottom w:val="nil"/>
              <w:right w:val="nil"/>
            </w:tcBorders>
          </w:tcPr>
          <w:p w14:paraId="5E78A476" w14:textId="6C779D93" w:rsidR="003D2540" w:rsidRPr="00967A7B" w:rsidRDefault="003D2540" w:rsidP="00AA200A">
            <w:pPr>
              <w:jc w:val="right"/>
              <w:rPr>
                <w:rFonts w:ascii="Times New Roman" w:hAnsi="Times New Roman" w:cs="Times New Roman"/>
              </w:rPr>
            </w:pPr>
            <w:r w:rsidRPr="00967A7B">
              <w:rPr>
                <w:rFonts w:ascii="Times New Roman" w:hAnsi="Times New Roman" w:cs="Times New Roman"/>
              </w:rPr>
              <w:t>0,396</w:t>
            </w:r>
          </w:p>
        </w:tc>
        <w:tc>
          <w:tcPr>
            <w:tcW w:w="868" w:type="dxa"/>
            <w:tcBorders>
              <w:top w:val="nil"/>
              <w:left w:val="nil"/>
              <w:bottom w:val="nil"/>
              <w:right w:val="nil"/>
            </w:tcBorders>
          </w:tcPr>
          <w:p w14:paraId="554A3B5A" w14:textId="1BFCD535" w:rsidR="003D2540" w:rsidRPr="00967A7B" w:rsidRDefault="003D2540" w:rsidP="00AA200A">
            <w:pPr>
              <w:jc w:val="right"/>
              <w:rPr>
                <w:rFonts w:ascii="Times New Roman" w:hAnsi="Times New Roman" w:cs="Times New Roman"/>
              </w:rPr>
            </w:pPr>
            <w:r w:rsidRPr="00967A7B">
              <w:rPr>
                <w:rFonts w:ascii="Times New Roman" w:hAnsi="Times New Roman" w:cs="Times New Roman"/>
              </w:rPr>
              <w:t>2,530</w:t>
            </w:r>
          </w:p>
        </w:tc>
        <w:tc>
          <w:tcPr>
            <w:tcW w:w="835" w:type="dxa"/>
            <w:tcBorders>
              <w:top w:val="nil"/>
              <w:left w:val="nil"/>
              <w:bottom w:val="nil"/>
              <w:right w:val="nil"/>
            </w:tcBorders>
          </w:tcPr>
          <w:p w14:paraId="1BD3C889" w14:textId="248D081E" w:rsidR="003D2540" w:rsidRPr="00967A7B" w:rsidRDefault="003D2540" w:rsidP="00AA200A">
            <w:pPr>
              <w:jc w:val="right"/>
              <w:rPr>
                <w:rFonts w:ascii="Times New Roman" w:hAnsi="Times New Roman" w:cs="Times New Roman"/>
              </w:rPr>
            </w:pPr>
            <w:r w:rsidRPr="00967A7B">
              <w:rPr>
                <w:rFonts w:ascii="Times New Roman" w:hAnsi="Times New Roman" w:cs="Times New Roman"/>
              </w:rPr>
              <w:t>-0,426</w:t>
            </w:r>
          </w:p>
        </w:tc>
        <w:tc>
          <w:tcPr>
            <w:tcW w:w="912" w:type="dxa"/>
            <w:tcBorders>
              <w:top w:val="nil"/>
              <w:left w:val="nil"/>
              <w:bottom w:val="nil"/>
              <w:right w:val="nil"/>
            </w:tcBorders>
          </w:tcPr>
          <w:p w14:paraId="26C0E545" w14:textId="52FBB4F3" w:rsidR="003D2540" w:rsidRPr="00967A7B" w:rsidRDefault="003D2540" w:rsidP="00AA200A">
            <w:pPr>
              <w:jc w:val="right"/>
              <w:rPr>
                <w:rFonts w:ascii="Times New Roman" w:hAnsi="Times New Roman" w:cs="Times New Roman"/>
              </w:rPr>
            </w:pPr>
            <w:r w:rsidRPr="00967A7B">
              <w:rPr>
                <w:rFonts w:ascii="Times New Roman" w:hAnsi="Times New Roman" w:cs="Times New Roman"/>
              </w:rPr>
              <w:t>5,203</w:t>
            </w:r>
          </w:p>
        </w:tc>
      </w:tr>
      <w:tr w:rsidR="003D2540" w14:paraId="433F9B20" w14:textId="77777777" w:rsidTr="00AA200A">
        <w:trPr>
          <w:trHeight w:val="284"/>
          <w:jc w:val="center"/>
        </w:trPr>
        <w:tc>
          <w:tcPr>
            <w:tcW w:w="1141" w:type="dxa"/>
            <w:tcBorders>
              <w:top w:val="nil"/>
              <w:left w:val="nil"/>
              <w:bottom w:val="nil"/>
              <w:right w:val="nil"/>
            </w:tcBorders>
          </w:tcPr>
          <w:p w14:paraId="137AA764" w14:textId="77777777" w:rsidR="003D2540" w:rsidRPr="00967A7B" w:rsidRDefault="003D2540" w:rsidP="00AA200A">
            <w:pPr>
              <w:jc w:val="both"/>
              <w:rPr>
                <w:rFonts w:ascii="Times New Roman" w:hAnsi="Times New Roman" w:cs="Times New Roman"/>
              </w:rPr>
            </w:pPr>
            <m:oMathPara>
              <m:oMathParaPr>
                <m:jc m:val="left"/>
              </m:oMathParaPr>
              <m:oMath>
                <m:r>
                  <w:rPr>
                    <w:rFonts w:ascii="Cambria Math" w:hAnsi="Cambria Math" w:cs="Times New Roman"/>
                  </w:rPr>
                  <m:t>PN</m:t>
                </m:r>
              </m:oMath>
            </m:oMathPara>
          </w:p>
        </w:tc>
        <w:tc>
          <w:tcPr>
            <w:tcW w:w="814" w:type="dxa"/>
            <w:tcBorders>
              <w:top w:val="nil"/>
              <w:left w:val="nil"/>
              <w:bottom w:val="nil"/>
              <w:right w:val="nil"/>
            </w:tcBorders>
          </w:tcPr>
          <w:p w14:paraId="6374594E" w14:textId="0A0AE93C" w:rsidR="00342EFB" w:rsidRPr="00967A7B" w:rsidRDefault="00342EFB" w:rsidP="00342EFB">
            <w:pPr>
              <w:jc w:val="right"/>
              <w:rPr>
                <w:rFonts w:ascii="Times New Roman" w:hAnsi="Times New Roman" w:cs="Times New Roman"/>
              </w:rPr>
            </w:pPr>
            <w:r w:rsidRPr="00967A7B">
              <w:rPr>
                <w:rFonts w:ascii="Times New Roman" w:hAnsi="Times New Roman" w:cs="Times New Roman"/>
              </w:rPr>
              <w:t>8,254</w:t>
            </w:r>
          </w:p>
        </w:tc>
        <w:tc>
          <w:tcPr>
            <w:tcW w:w="882" w:type="dxa"/>
            <w:tcBorders>
              <w:top w:val="nil"/>
              <w:left w:val="nil"/>
              <w:bottom w:val="nil"/>
              <w:right w:val="nil"/>
            </w:tcBorders>
          </w:tcPr>
          <w:p w14:paraId="0192E519" w14:textId="3F95B9D6" w:rsidR="003D2540" w:rsidRPr="00967A7B" w:rsidRDefault="00342EFB" w:rsidP="00AA200A">
            <w:pPr>
              <w:jc w:val="right"/>
              <w:rPr>
                <w:rFonts w:ascii="Times New Roman" w:hAnsi="Times New Roman" w:cs="Times New Roman"/>
              </w:rPr>
            </w:pPr>
            <w:r w:rsidRPr="00967A7B">
              <w:rPr>
                <w:rFonts w:ascii="Times New Roman" w:hAnsi="Times New Roman" w:cs="Times New Roman"/>
              </w:rPr>
              <w:t>4,398</w:t>
            </w:r>
          </w:p>
        </w:tc>
        <w:tc>
          <w:tcPr>
            <w:tcW w:w="816" w:type="dxa"/>
            <w:tcBorders>
              <w:top w:val="nil"/>
              <w:left w:val="nil"/>
              <w:bottom w:val="nil"/>
              <w:right w:val="nil"/>
            </w:tcBorders>
          </w:tcPr>
          <w:p w14:paraId="7B6BA8CD" w14:textId="7537DB40" w:rsidR="003D2540" w:rsidRPr="00967A7B" w:rsidRDefault="00342EFB" w:rsidP="00AA200A">
            <w:pPr>
              <w:jc w:val="right"/>
              <w:rPr>
                <w:rFonts w:ascii="Times New Roman" w:hAnsi="Times New Roman" w:cs="Times New Roman"/>
              </w:rPr>
            </w:pPr>
            <w:r w:rsidRPr="00967A7B">
              <w:rPr>
                <w:rFonts w:ascii="Times New Roman" w:hAnsi="Times New Roman" w:cs="Times New Roman"/>
              </w:rPr>
              <w:t>10</w:t>
            </w:r>
            <w:r w:rsidR="003D2540" w:rsidRPr="00967A7B">
              <w:rPr>
                <w:rFonts w:ascii="Times New Roman" w:hAnsi="Times New Roman" w:cs="Times New Roman"/>
              </w:rPr>
              <w:t>,</w:t>
            </w:r>
            <w:r w:rsidRPr="00967A7B">
              <w:rPr>
                <w:rFonts w:ascii="Times New Roman" w:hAnsi="Times New Roman" w:cs="Times New Roman"/>
              </w:rPr>
              <w:t>143</w:t>
            </w:r>
          </w:p>
        </w:tc>
        <w:tc>
          <w:tcPr>
            <w:tcW w:w="768" w:type="dxa"/>
            <w:tcBorders>
              <w:top w:val="nil"/>
              <w:left w:val="nil"/>
              <w:bottom w:val="nil"/>
              <w:right w:val="nil"/>
            </w:tcBorders>
          </w:tcPr>
          <w:p w14:paraId="6C37AD91" w14:textId="165F2806" w:rsidR="003D2540" w:rsidRPr="00967A7B" w:rsidRDefault="00C96344" w:rsidP="00AA200A">
            <w:pPr>
              <w:jc w:val="right"/>
              <w:rPr>
                <w:rFonts w:ascii="Times New Roman" w:hAnsi="Times New Roman" w:cs="Times New Roman"/>
              </w:rPr>
            </w:pPr>
            <w:r w:rsidRPr="00967A7B">
              <w:rPr>
                <w:rFonts w:ascii="Times New Roman" w:hAnsi="Times New Roman" w:cs="Times New Roman"/>
              </w:rPr>
              <w:t>1,228</w:t>
            </w:r>
          </w:p>
        </w:tc>
        <w:tc>
          <w:tcPr>
            <w:tcW w:w="873" w:type="dxa"/>
            <w:tcBorders>
              <w:top w:val="nil"/>
              <w:left w:val="nil"/>
              <w:bottom w:val="nil"/>
              <w:right w:val="nil"/>
            </w:tcBorders>
          </w:tcPr>
          <w:p w14:paraId="2F0A8B0A" w14:textId="44B37E04" w:rsidR="003D2540" w:rsidRPr="00967A7B" w:rsidRDefault="00342EFB" w:rsidP="00AA200A">
            <w:pPr>
              <w:jc w:val="right"/>
              <w:rPr>
                <w:rFonts w:ascii="Times New Roman" w:hAnsi="Times New Roman" w:cs="Times New Roman"/>
              </w:rPr>
            </w:pPr>
            <w:r w:rsidRPr="00967A7B">
              <w:rPr>
                <w:rFonts w:ascii="Times New Roman" w:hAnsi="Times New Roman" w:cs="Times New Roman"/>
              </w:rPr>
              <w:t>3</w:t>
            </w:r>
            <w:r w:rsidR="003D2540" w:rsidRPr="00967A7B">
              <w:rPr>
                <w:rFonts w:ascii="Times New Roman" w:hAnsi="Times New Roman" w:cs="Times New Roman"/>
              </w:rPr>
              <w:t>,0</w:t>
            </w:r>
            <w:r w:rsidRPr="00967A7B">
              <w:rPr>
                <w:rFonts w:ascii="Times New Roman" w:hAnsi="Times New Roman" w:cs="Times New Roman"/>
              </w:rPr>
              <w:t>49</w:t>
            </w:r>
          </w:p>
        </w:tc>
        <w:tc>
          <w:tcPr>
            <w:tcW w:w="868" w:type="dxa"/>
            <w:tcBorders>
              <w:top w:val="nil"/>
              <w:left w:val="nil"/>
              <w:bottom w:val="nil"/>
              <w:right w:val="nil"/>
            </w:tcBorders>
          </w:tcPr>
          <w:p w14:paraId="4284BFBF" w14:textId="50428403" w:rsidR="003D2540" w:rsidRPr="00967A7B" w:rsidRDefault="00342EFB" w:rsidP="00AA200A">
            <w:pPr>
              <w:jc w:val="right"/>
              <w:rPr>
                <w:rFonts w:ascii="Times New Roman" w:hAnsi="Times New Roman" w:cs="Times New Roman"/>
              </w:rPr>
            </w:pPr>
            <w:r w:rsidRPr="00967A7B">
              <w:rPr>
                <w:rFonts w:ascii="Times New Roman" w:hAnsi="Times New Roman" w:cs="Times New Roman"/>
              </w:rPr>
              <w:t>14</w:t>
            </w:r>
            <w:r w:rsidR="003D2540" w:rsidRPr="00967A7B">
              <w:rPr>
                <w:rFonts w:ascii="Times New Roman" w:hAnsi="Times New Roman" w:cs="Times New Roman"/>
              </w:rPr>
              <w:t>,</w:t>
            </w:r>
            <w:r w:rsidRPr="00967A7B">
              <w:rPr>
                <w:rFonts w:ascii="Times New Roman" w:hAnsi="Times New Roman" w:cs="Times New Roman"/>
              </w:rPr>
              <w:t>360</w:t>
            </w:r>
          </w:p>
        </w:tc>
        <w:tc>
          <w:tcPr>
            <w:tcW w:w="835" w:type="dxa"/>
            <w:tcBorders>
              <w:top w:val="nil"/>
              <w:left w:val="nil"/>
              <w:bottom w:val="nil"/>
              <w:right w:val="nil"/>
            </w:tcBorders>
          </w:tcPr>
          <w:p w14:paraId="79BCD64E" w14:textId="5CB21427" w:rsidR="003D2540" w:rsidRPr="00967A7B" w:rsidRDefault="00342EFB" w:rsidP="00AA200A">
            <w:pPr>
              <w:jc w:val="right"/>
              <w:rPr>
                <w:rFonts w:ascii="Times New Roman" w:hAnsi="Times New Roman" w:cs="Times New Roman"/>
              </w:rPr>
            </w:pPr>
            <w:r w:rsidRPr="00967A7B">
              <w:rPr>
                <w:rFonts w:ascii="Times New Roman" w:hAnsi="Times New Roman" w:cs="Times New Roman"/>
              </w:rPr>
              <w:t>1</w:t>
            </w:r>
            <w:r w:rsidR="003D2540" w:rsidRPr="00967A7B">
              <w:rPr>
                <w:rFonts w:ascii="Times New Roman" w:hAnsi="Times New Roman" w:cs="Times New Roman"/>
              </w:rPr>
              <w:t>,</w:t>
            </w:r>
            <w:r w:rsidRPr="00967A7B">
              <w:rPr>
                <w:rFonts w:ascii="Times New Roman" w:hAnsi="Times New Roman" w:cs="Times New Roman"/>
              </w:rPr>
              <w:t>120</w:t>
            </w:r>
          </w:p>
        </w:tc>
        <w:tc>
          <w:tcPr>
            <w:tcW w:w="912" w:type="dxa"/>
            <w:tcBorders>
              <w:top w:val="nil"/>
              <w:left w:val="nil"/>
              <w:bottom w:val="nil"/>
              <w:right w:val="nil"/>
            </w:tcBorders>
          </w:tcPr>
          <w:p w14:paraId="5C7658F5" w14:textId="1DC4FCDD" w:rsidR="003D2540" w:rsidRPr="00967A7B" w:rsidRDefault="00342EFB" w:rsidP="00AA200A">
            <w:pPr>
              <w:jc w:val="right"/>
              <w:rPr>
                <w:rFonts w:ascii="Times New Roman" w:hAnsi="Times New Roman" w:cs="Times New Roman"/>
              </w:rPr>
            </w:pPr>
            <w:r w:rsidRPr="00967A7B">
              <w:rPr>
                <w:rFonts w:ascii="Times New Roman" w:hAnsi="Times New Roman" w:cs="Times New Roman"/>
              </w:rPr>
              <w:t>64</w:t>
            </w:r>
            <w:r w:rsidR="003D2540" w:rsidRPr="00967A7B">
              <w:rPr>
                <w:rFonts w:ascii="Times New Roman" w:hAnsi="Times New Roman" w:cs="Times New Roman"/>
              </w:rPr>
              <w:t>,</w:t>
            </w:r>
            <w:r w:rsidRPr="00967A7B">
              <w:rPr>
                <w:rFonts w:ascii="Times New Roman" w:hAnsi="Times New Roman" w:cs="Times New Roman"/>
              </w:rPr>
              <w:t>406</w:t>
            </w:r>
          </w:p>
        </w:tc>
      </w:tr>
      <w:tr w:rsidR="003D2540" w14:paraId="0BECB603" w14:textId="77777777" w:rsidTr="00AA200A">
        <w:trPr>
          <w:trHeight w:val="284"/>
          <w:jc w:val="center"/>
        </w:trPr>
        <w:tc>
          <w:tcPr>
            <w:tcW w:w="1141" w:type="dxa"/>
            <w:tcBorders>
              <w:top w:val="nil"/>
              <w:left w:val="nil"/>
              <w:bottom w:val="single" w:sz="4" w:space="0" w:color="auto"/>
              <w:right w:val="nil"/>
            </w:tcBorders>
          </w:tcPr>
          <w:p w14:paraId="7A2EF895" w14:textId="77777777" w:rsidR="003D2540" w:rsidRPr="00967A7B" w:rsidRDefault="003D2540" w:rsidP="00AA200A">
            <w:pPr>
              <w:jc w:val="both"/>
              <w:rPr>
                <w:rFonts w:ascii="Times New Roman" w:hAnsi="Times New Roman" w:cs="Times New Roman"/>
              </w:rPr>
            </w:pPr>
            <m:oMathPara>
              <m:oMathParaPr>
                <m:jc m:val="left"/>
              </m:oMathParaPr>
              <m:oMath>
                <m:r>
                  <w:rPr>
                    <w:rFonts w:ascii="Cambria Math" w:hAnsi="Cambria Math" w:cs="Times New Roman"/>
                  </w:rPr>
                  <w:lastRenderedPageBreak/>
                  <m:t>Rdo</m:t>
                </m:r>
              </m:oMath>
            </m:oMathPara>
          </w:p>
        </w:tc>
        <w:tc>
          <w:tcPr>
            <w:tcW w:w="814" w:type="dxa"/>
            <w:tcBorders>
              <w:top w:val="nil"/>
              <w:left w:val="nil"/>
              <w:bottom w:val="single" w:sz="4" w:space="0" w:color="auto"/>
              <w:right w:val="nil"/>
            </w:tcBorders>
          </w:tcPr>
          <w:p w14:paraId="770363C9" w14:textId="642B0816" w:rsidR="003D2540" w:rsidRPr="00967A7B" w:rsidRDefault="003D2540" w:rsidP="00AA200A">
            <w:pPr>
              <w:jc w:val="right"/>
              <w:rPr>
                <w:rFonts w:ascii="Times New Roman" w:hAnsi="Times New Roman" w:cs="Times New Roman"/>
              </w:rPr>
            </w:pPr>
            <w:r w:rsidRPr="00967A7B">
              <w:rPr>
                <w:rFonts w:ascii="Times New Roman" w:hAnsi="Times New Roman" w:cs="Times New Roman"/>
              </w:rPr>
              <w:t>2,</w:t>
            </w:r>
            <w:r w:rsidR="00342EFB" w:rsidRPr="00967A7B">
              <w:rPr>
                <w:rFonts w:ascii="Times New Roman" w:hAnsi="Times New Roman" w:cs="Times New Roman"/>
              </w:rPr>
              <w:t>145</w:t>
            </w:r>
          </w:p>
        </w:tc>
        <w:tc>
          <w:tcPr>
            <w:tcW w:w="882" w:type="dxa"/>
            <w:tcBorders>
              <w:top w:val="nil"/>
              <w:left w:val="nil"/>
              <w:bottom w:val="single" w:sz="4" w:space="0" w:color="auto"/>
              <w:right w:val="nil"/>
            </w:tcBorders>
          </w:tcPr>
          <w:p w14:paraId="5818195E" w14:textId="13B9C7FF" w:rsidR="003D2540" w:rsidRPr="00967A7B" w:rsidRDefault="00342EFB" w:rsidP="00AA200A">
            <w:pPr>
              <w:jc w:val="right"/>
              <w:rPr>
                <w:rFonts w:ascii="Times New Roman" w:hAnsi="Times New Roman" w:cs="Times New Roman"/>
              </w:rPr>
            </w:pPr>
            <w:r w:rsidRPr="00967A7B">
              <w:rPr>
                <w:rFonts w:ascii="Times New Roman" w:hAnsi="Times New Roman" w:cs="Times New Roman"/>
              </w:rPr>
              <w:t>1,013</w:t>
            </w:r>
          </w:p>
        </w:tc>
        <w:tc>
          <w:tcPr>
            <w:tcW w:w="816" w:type="dxa"/>
            <w:tcBorders>
              <w:top w:val="nil"/>
              <w:left w:val="nil"/>
              <w:bottom w:val="single" w:sz="4" w:space="0" w:color="auto"/>
              <w:right w:val="nil"/>
            </w:tcBorders>
          </w:tcPr>
          <w:p w14:paraId="2F921506" w14:textId="4C858BEF" w:rsidR="003D2540" w:rsidRPr="00967A7B" w:rsidRDefault="00342EFB" w:rsidP="00AA200A">
            <w:pPr>
              <w:jc w:val="right"/>
              <w:rPr>
                <w:rFonts w:ascii="Times New Roman" w:hAnsi="Times New Roman" w:cs="Times New Roman"/>
              </w:rPr>
            </w:pPr>
            <w:r w:rsidRPr="00967A7B">
              <w:rPr>
                <w:rFonts w:ascii="Times New Roman" w:hAnsi="Times New Roman" w:cs="Times New Roman"/>
              </w:rPr>
              <w:t>2,972</w:t>
            </w:r>
          </w:p>
        </w:tc>
        <w:tc>
          <w:tcPr>
            <w:tcW w:w="768" w:type="dxa"/>
            <w:tcBorders>
              <w:top w:val="nil"/>
              <w:left w:val="nil"/>
              <w:bottom w:val="single" w:sz="4" w:space="0" w:color="auto"/>
              <w:right w:val="nil"/>
            </w:tcBorders>
          </w:tcPr>
          <w:p w14:paraId="123D53E9" w14:textId="43CB9A8D" w:rsidR="003D2540" w:rsidRPr="00967A7B" w:rsidRDefault="00C96344" w:rsidP="00AA200A">
            <w:pPr>
              <w:jc w:val="right"/>
              <w:rPr>
                <w:rFonts w:ascii="Times New Roman" w:hAnsi="Times New Roman" w:cs="Times New Roman"/>
              </w:rPr>
            </w:pPr>
            <w:r w:rsidRPr="00967A7B">
              <w:rPr>
                <w:rFonts w:ascii="Times New Roman" w:hAnsi="Times New Roman" w:cs="Times New Roman"/>
              </w:rPr>
              <w:t>1,385</w:t>
            </w:r>
          </w:p>
        </w:tc>
        <w:tc>
          <w:tcPr>
            <w:tcW w:w="873" w:type="dxa"/>
            <w:tcBorders>
              <w:top w:val="nil"/>
              <w:left w:val="nil"/>
              <w:bottom w:val="single" w:sz="4" w:space="0" w:color="auto"/>
              <w:right w:val="nil"/>
            </w:tcBorders>
          </w:tcPr>
          <w:p w14:paraId="55C8C51F" w14:textId="35995B7E" w:rsidR="003D2540" w:rsidRPr="00967A7B" w:rsidRDefault="00342EFB" w:rsidP="00AA200A">
            <w:pPr>
              <w:jc w:val="right"/>
              <w:rPr>
                <w:rFonts w:ascii="Times New Roman" w:hAnsi="Times New Roman" w:cs="Times New Roman"/>
              </w:rPr>
            </w:pPr>
            <w:r w:rsidRPr="00967A7B">
              <w:rPr>
                <w:rFonts w:ascii="Times New Roman" w:hAnsi="Times New Roman" w:cs="Times New Roman"/>
              </w:rPr>
              <w:t>2,632</w:t>
            </w:r>
          </w:p>
        </w:tc>
        <w:tc>
          <w:tcPr>
            <w:tcW w:w="868" w:type="dxa"/>
            <w:tcBorders>
              <w:top w:val="nil"/>
              <w:left w:val="nil"/>
              <w:bottom w:val="single" w:sz="4" w:space="0" w:color="auto"/>
              <w:right w:val="nil"/>
            </w:tcBorders>
          </w:tcPr>
          <w:p w14:paraId="123F07F0" w14:textId="56900659" w:rsidR="003D2540" w:rsidRPr="00967A7B" w:rsidRDefault="00342EFB" w:rsidP="00AA200A">
            <w:pPr>
              <w:jc w:val="right"/>
              <w:rPr>
                <w:rFonts w:ascii="Times New Roman" w:hAnsi="Times New Roman" w:cs="Times New Roman"/>
              </w:rPr>
            </w:pPr>
            <w:r w:rsidRPr="00967A7B">
              <w:rPr>
                <w:rFonts w:ascii="Times New Roman" w:hAnsi="Times New Roman" w:cs="Times New Roman"/>
              </w:rPr>
              <w:t>11,080</w:t>
            </w:r>
          </w:p>
        </w:tc>
        <w:tc>
          <w:tcPr>
            <w:tcW w:w="835" w:type="dxa"/>
            <w:tcBorders>
              <w:top w:val="nil"/>
              <w:left w:val="nil"/>
              <w:bottom w:val="single" w:sz="4" w:space="0" w:color="auto"/>
              <w:right w:val="nil"/>
            </w:tcBorders>
          </w:tcPr>
          <w:p w14:paraId="17203537" w14:textId="1555E46A" w:rsidR="003D2540" w:rsidRPr="00967A7B" w:rsidRDefault="003D2540" w:rsidP="00AA200A">
            <w:pPr>
              <w:jc w:val="right"/>
              <w:rPr>
                <w:rFonts w:ascii="Times New Roman" w:hAnsi="Times New Roman" w:cs="Times New Roman"/>
              </w:rPr>
            </w:pPr>
            <w:r w:rsidRPr="00967A7B">
              <w:rPr>
                <w:rFonts w:ascii="Times New Roman" w:hAnsi="Times New Roman" w:cs="Times New Roman"/>
              </w:rPr>
              <w:t>0,0</w:t>
            </w:r>
            <w:r w:rsidR="00342EFB" w:rsidRPr="00967A7B">
              <w:rPr>
                <w:rFonts w:ascii="Times New Roman" w:hAnsi="Times New Roman" w:cs="Times New Roman"/>
              </w:rPr>
              <w:t>37</w:t>
            </w:r>
          </w:p>
        </w:tc>
        <w:tc>
          <w:tcPr>
            <w:tcW w:w="912" w:type="dxa"/>
            <w:tcBorders>
              <w:top w:val="nil"/>
              <w:left w:val="nil"/>
              <w:bottom w:val="single" w:sz="4" w:space="0" w:color="auto"/>
              <w:right w:val="nil"/>
            </w:tcBorders>
          </w:tcPr>
          <w:p w14:paraId="49A64D35" w14:textId="77261C4D" w:rsidR="003D2540" w:rsidRPr="00967A7B" w:rsidRDefault="00342EFB" w:rsidP="00AA200A">
            <w:pPr>
              <w:jc w:val="right"/>
              <w:rPr>
                <w:rFonts w:ascii="Times New Roman" w:hAnsi="Times New Roman" w:cs="Times New Roman"/>
              </w:rPr>
            </w:pPr>
            <w:r w:rsidRPr="00967A7B">
              <w:rPr>
                <w:rFonts w:ascii="Times New Roman" w:hAnsi="Times New Roman" w:cs="Times New Roman"/>
              </w:rPr>
              <w:t>16</w:t>
            </w:r>
            <w:r w:rsidR="003D2540" w:rsidRPr="00967A7B">
              <w:rPr>
                <w:rFonts w:ascii="Times New Roman" w:hAnsi="Times New Roman" w:cs="Times New Roman"/>
              </w:rPr>
              <w:t>,</w:t>
            </w:r>
            <w:r w:rsidRPr="00967A7B">
              <w:rPr>
                <w:rFonts w:ascii="Times New Roman" w:hAnsi="Times New Roman" w:cs="Times New Roman"/>
              </w:rPr>
              <w:t>461</w:t>
            </w:r>
          </w:p>
        </w:tc>
      </w:tr>
      <w:bookmarkEnd w:id="5"/>
    </w:tbl>
    <w:p w14:paraId="432D9681" w14:textId="77777777" w:rsidR="00D62FA1" w:rsidRPr="000900DB" w:rsidRDefault="00D62FA1" w:rsidP="000900DB">
      <w:pPr>
        <w:spacing w:after="120" w:line="360" w:lineRule="auto"/>
        <w:jc w:val="both"/>
        <w:rPr>
          <w:rFonts w:ascii="Times New Roman" w:hAnsi="Times New Roman" w:cs="Times New Roman"/>
        </w:rPr>
      </w:pPr>
    </w:p>
    <w:p w14:paraId="7AE49D87" w14:textId="3AA46CB4" w:rsidR="00D62FA1" w:rsidRPr="000900DB" w:rsidRDefault="00D62FA1" w:rsidP="000900DB">
      <w:pPr>
        <w:spacing w:line="360" w:lineRule="auto"/>
        <w:jc w:val="both"/>
        <w:rPr>
          <w:rFonts w:ascii="Times New Roman" w:hAnsi="Times New Roman" w:cs="Times New Roman"/>
        </w:rPr>
      </w:pPr>
      <w:r w:rsidRPr="000900DB">
        <w:rPr>
          <w:rFonts w:ascii="Times New Roman" w:hAnsi="Times New Roman" w:cs="Times New Roman"/>
        </w:rPr>
        <w:t xml:space="preserve">La Tabla III muestra la correlación lineal entre las variables. En este sentido, la variable dependiente posee una </w:t>
      </w:r>
      <w:r w:rsidR="000D23AB" w:rsidRPr="000900DB">
        <w:rPr>
          <w:rFonts w:ascii="Times New Roman" w:hAnsi="Times New Roman" w:cs="Times New Roman"/>
        </w:rPr>
        <w:t xml:space="preserve">alta </w:t>
      </w:r>
      <w:r w:rsidRPr="000900DB">
        <w:rPr>
          <w:rFonts w:ascii="Times New Roman" w:hAnsi="Times New Roman" w:cs="Times New Roman"/>
        </w:rPr>
        <w:t>asociación positiva con las variables explicativas que se manifiesta en un coeficiente de correlación lineal de 0,</w:t>
      </w:r>
      <w:r w:rsidR="000D23AB" w:rsidRPr="000900DB">
        <w:rPr>
          <w:rFonts w:ascii="Times New Roman" w:hAnsi="Times New Roman" w:cs="Times New Roman"/>
        </w:rPr>
        <w:t>797</w:t>
      </w:r>
      <w:r w:rsidRPr="000900DB">
        <w:rPr>
          <w:rFonts w:ascii="Times New Roman" w:hAnsi="Times New Roman" w:cs="Times New Roman"/>
        </w:rPr>
        <w:t xml:space="preserve"> entre </w:t>
      </w:r>
      <m:oMath>
        <m:r>
          <w:rPr>
            <w:rFonts w:ascii="Cambria Math" w:hAnsi="Cambria Math" w:cs="Times New Roman"/>
          </w:rPr>
          <m:t>LnP</m:t>
        </m:r>
      </m:oMath>
      <w:r w:rsidRPr="000900DB">
        <w:rPr>
          <w:rFonts w:ascii="Times New Roman" w:hAnsi="Times New Roman" w:cs="Times New Roman"/>
        </w:rPr>
        <w:t xml:space="preserve"> y </w:t>
      </w:r>
      <m:oMath>
        <m:r>
          <w:rPr>
            <w:rFonts w:ascii="Cambria Math" w:hAnsi="Cambria Math" w:cs="Times New Roman"/>
          </w:rPr>
          <m:t>PN</m:t>
        </m:r>
      </m:oMath>
      <w:r w:rsidRPr="000900DB">
        <w:rPr>
          <w:rFonts w:ascii="Times New Roman" w:hAnsi="Times New Roman" w:cs="Times New Roman"/>
        </w:rPr>
        <w:t xml:space="preserve"> y de 0,</w:t>
      </w:r>
      <w:r w:rsidR="000D23AB" w:rsidRPr="000900DB">
        <w:rPr>
          <w:rFonts w:ascii="Times New Roman" w:hAnsi="Times New Roman" w:cs="Times New Roman"/>
        </w:rPr>
        <w:t>775</w:t>
      </w:r>
      <w:r w:rsidRPr="000900DB">
        <w:rPr>
          <w:rFonts w:ascii="Times New Roman" w:hAnsi="Times New Roman" w:cs="Times New Roman"/>
        </w:rPr>
        <w:t xml:space="preserve"> entre </w:t>
      </w:r>
      <m:oMath>
        <m:r>
          <w:rPr>
            <w:rFonts w:ascii="Cambria Math" w:hAnsi="Cambria Math" w:cs="Times New Roman"/>
          </w:rPr>
          <m:t>LnP</m:t>
        </m:r>
      </m:oMath>
      <w:r w:rsidRPr="000900DB">
        <w:rPr>
          <w:rFonts w:ascii="Times New Roman" w:hAnsi="Times New Roman" w:cs="Times New Roman"/>
        </w:rPr>
        <w:t xml:space="preserve"> y </w:t>
      </w:r>
      <m:oMath>
        <m:r>
          <w:rPr>
            <w:rFonts w:ascii="Cambria Math" w:hAnsi="Cambria Math" w:cs="Times New Roman"/>
          </w:rPr>
          <m:t>Rdo</m:t>
        </m:r>
      </m:oMath>
      <w:r w:rsidRPr="000900DB">
        <w:rPr>
          <w:rFonts w:ascii="Times New Roman" w:hAnsi="Times New Roman" w:cs="Times New Roman"/>
        </w:rPr>
        <w:t xml:space="preserve">. </w:t>
      </w:r>
    </w:p>
    <w:p w14:paraId="2F7C332A" w14:textId="49254977" w:rsidR="00D62FA1" w:rsidRPr="000900DB" w:rsidRDefault="000D23AB" w:rsidP="000900DB">
      <w:pPr>
        <w:spacing w:line="360" w:lineRule="auto"/>
        <w:jc w:val="both"/>
        <w:rPr>
          <w:rFonts w:ascii="Times New Roman" w:hAnsi="Times New Roman" w:cs="Times New Roman"/>
        </w:rPr>
      </w:pPr>
      <w:r w:rsidRPr="000900DB">
        <w:rPr>
          <w:rFonts w:ascii="Times New Roman" w:hAnsi="Times New Roman" w:cs="Times New Roman"/>
        </w:rPr>
        <w:t>Así mismo</w:t>
      </w:r>
      <w:r w:rsidR="00D62FA1" w:rsidRPr="000900DB">
        <w:rPr>
          <w:rFonts w:ascii="Times New Roman" w:hAnsi="Times New Roman" w:cs="Times New Roman"/>
        </w:rPr>
        <w:t>, las variables independientes presentan un alto grado de asociación positiva (0,83) que pueden estar indicando problemas de multicolinealidad</w:t>
      </w:r>
      <w:r w:rsidR="00D62FA1" w:rsidRPr="00871009">
        <w:rPr>
          <w:rFonts w:ascii="Times New Roman" w:hAnsi="Times New Roman" w:cs="Times New Roman"/>
          <w:vertAlign w:val="superscript"/>
        </w:rPr>
        <w:footnoteReference w:id="1"/>
      </w:r>
      <w:r w:rsidR="00D62FA1" w:rsidRPr="000900DB">
        <w:rPr>
          <w:rFonts w:ascii="Times New Roman" w:hAnsi="Times New Roman" w:cs="Times New Roman"/>
        </w:rPr>
        <w:t xml:space="preserve"> que son característicos de este tipo de estudios. </w:t>
      </w:r>
    </w:p>
    <w:p w14:paraId="4AC3941F" w14:textId="0D7E41D2" w:rsidR="00D62FA1" w:rsidRPr="000900DB" w:rsidRDefault="00D62FA1" w:rsidP="000900DB">
      <w:pPr>
        <w:spacing w:after="120" w:line="360" w:lineRule="auto"/>
        <w:jc w:val="both"/>
        <w:rPr>
          <w:rFonts w:ascii="Times New Roman" w:hAnsi="Times New Roman" w:cs="Times New Roman"/>
          <w:b/>
          <w:bCs/>
        </w:rPr>
      </w:pPr>
      <w:r w:rsidRPr="000900DB">
        <w:rPr>
          <w:rFonts w:ascii="Times New Roman" w:hAnsi="Times New Roman" w:cs="Times New Roman"/>
          <w:b/>
          <w:bCs/>
        </w:rPr>
        <w:t>Tabla I</w:t>
      </w:r>
      <w:r w:rsidR="000D23AB" w:rsidRPr="000900DB">
        <w:rPr>
          <w:rFonts w:ascii="Times New Roman" w:hAnsi="Times New Roman" w:cs="Times New Roman"/>
          <w:b/>
          <w:bCs/>
        </w:rPr>
        <w:t>II</w:t>
      </w:r>
    </w:p>
    <w:p w14:paraId="4C163623" w14:textId="77777777" w:rsidR="00D62FA1" w:rsidRPr="003A4DBB" w:rsidRDefault="00D62FA1" w:rsidP="000900DB">
      <w:pPr>
        <w:spacing w:after="120" w:line="360" w:lineRule="auto"/>
        <w:jc w:val="both"/>
        <w:rPr>
          <w:rFonts w:ascii="Times New Roman" w:hAnsi="Times New Roman" w:cs="Times New Roman"/>
          <w:i/>
          <w:iCs/>
          <w:sz w:val="24"/>
          <w:szCs w:val="24"/>
        </w:rPr>
      </w:pPr>
      <w:r w:rsidRPr="000900DB">
        <w:rPr>
          <w:rFonts w:ascii="Times New Roman" w:hAnsi="Times New Roman" w:cs="Times New Roman"/>
          <w:i/>
          <w:iCs/>
        </w:rPr>
        <w:t>Correlación entre las variables</w:t>
      </w:r>
    </w:p>
    <w:tbl>
      <w:tblPr>
        <w:tblStyle w:val="Tablaconcuadrcula"/>
        <w:tblW w:w="0" w:type="auto"/>
        <w:jc w:val="center"/>
        <w:tblBorders>
          <w:bottom w:val="none" w:sz="0" w:space="0" w:color="auto"/>
        </w:tblBorders>
        <w:tblLook w:val="04A0" w:firstRow="1" w:lastRow="0" w:firstColumn="1" w:lastColumn="0" w:noHBand="0" w:noVBand="1"/>
      </w:tblPr>
      <w:tblGrid>
        <w:gridCol w:w="1751"/>
        <w:gridCol w:w="1206"/>
        <w:gridCol w:w="1173"/>
        <w:gridCol w:w="1413"/>
      </w:tblGrid>
      <w:tr w:rsidR="00D62FA1" w:rsidRPr="00E223EA" w14:paraId="6B6D9AC5" w14:textId="77777777" w:rsidTr="00AA200A">
        <w:trPr>
          <w:trHeight w:val="284"/>
          <w:jc w:val="center"/>
        </w:trPr>
        <w:tc>
          <w:tcPr>
            <w:tcW w:w="1751" w:type="dxa"/>
            <w:tcBorders>
              <w:top w:val="single" w:sz="4" w:space="0" w:color="auto"/>
              <w:left w:val="nil"/>
              <w:bottom w:val="single" w:sz="4" w:space="0" w:color="auto"/>
              <w:right w:val="nil"/>
            </w:tcBorders>
            <w:shd w:val="clear" w:color="auto" w:fill="D0CECE" w:themeFill="background2" w:themeFillShade="E6"/>
          </w:tcPr>
          <w:p w14:paraId="6DD93ADE" w14:textId="77777777" w:rsidR="00D62FA1" w:rsidRPr="000900DB" w:rsidRDefault="00D62FA1" w:rsidP="00AA200A">
            <w:pPr>
              <w:rPr>
                <w:rFonts w:ascii="Times New Roman" w:hAnsi="Times New Roman" w:cs="Times New Roman"/>
              </w:rPr>
            </w:pPr>
          </w:p>
        </w:tc>
        <w:tc>
          <w:tcPr>
            <w:tcW w:w="1206" w:type="dxa"/>
            <w:tcBorders>
              <w:top w:val="single" w:sz="4" w:space="0" w:color="auto"/>
              <w:left w:val="nil"/>
              <w:bottom w:val="single" w:sz="4" w:space="0" w:color="auto"/>
              <w:right w:val="nil"/>
            </w:tcBorders>
            <w:shd w:val="clear" w:color="auto" w:fill="D0CECE" w:themeFill="background2" w:themeFillShade="E6"/>
          </w:tcPr>
          <w:p w14:paraId="41B4520E" w14:textId="77777777" w:rsidR="00D62FA1" w:rsidRPr="000900DB" w:rsidRDefault="00D62FA1" w:rsidP="00AA200A">
            <w:pPr>
              <w:jc w:val="center"/>
              <w:rPr>
                <w:rFonts w:ascii="Times New Roman" w:hAnsi="Times New Roman" w:cs="Times New Roman"/>
              </w:rPr>
            </w:pPr>
            <m:oMathPara>
              <m:oMathParaPr>
                <m:jc m:val="center"/>
              </m:oMathParaPr>
              <m:oMath>
                <m:r>
                  <w:rPr>
                    <w:rFonts w:ascii="Cambria Math" w:hAnsi="Cambria Math" w:cs="Times New Roman"/>
                  </w:rPr>
                  <m:t xml:space="preserve">            LnP</m:t>
                </m:r>
              </m:oMath>
            </m:oMathPara>
          </w:p>
        </w:tc>
        <w:tc>
          <w:tcPr>
            <w:tcW w:w="1173" w:type="dxa"/>
            <w:tcBorders>
              <w:top w:val="single" w:sz="4" w:space="0" w:color="auto"/>
              <w:left w:val="nil"/>
              <w:bottom w:val="single" w:sz="4" w:space="0" w:color="auto"/>
              <w:right w:val="nil"/>
            </w:tcBorders>
            <w:shd w:val="clear" w:color="auto" w:fill="D0CECE" w:themeFill="background2" w:themeFillShade="E6"/>
          </w:tcPr>
          <w:p w14:paraId="3DBCC338" w14:textId="77777777" w:rsidR="00D62FA1" w:rsidRPr="000900DB" w:rsidRDefault="00D62FA1" w:rsidP="00AA200A">
            <w:pPr>
              <w:rPr>
                <w:rFonts w:ascii="Times New Roman" w:hAnsi="Times New Roman" w:cs="Times New Roman"/>
              </w:rPr>
            </w:pPr>
            <m:oMathPara>
              <m:oMath>
                <m:r>
                  <w:rPr>
                    <w:rFonts w:ascii="Cambria Math" w:hAnsi="Cambria Math" w:cs="Times New Roman"/>
                  </w:rPr>
                  <m:t xml:space="preserve">          PN</m:t>
                </m:r>
              </m:oMath>
            </m:oMathPara>
          </w:p>
        </w:tc>
        <w:tc>
          <w:tcPr>
            <w:tcW w:w="1413" w:type="dxa"/>
            <w:tcBorders>
              <w:top w:val="single" w:sz="4" w:space="0" w:color="auto"/>
              <w:left w:val="nil"/>
              <w:bottom w:val="single" w:sz="4" w:space="0" w:color="auto"/>
              <w:right w:val="nil"/>
            </w:tcBorders>
            <w:shd w:val="clear" w:color="auto" w:fill="D0CECE" w:themeFill="background2" w:themeFillShade="E6"/>
          </w:tcPr>
          <w:p w14:paraId="0D9A16E9" w14:textId="77777777" w:rsidR="00D62FA1" w:rsidRPr="000900DB" w:rsidRDefault="00D62FA1" w:rsidP="00AA200A">
            <w:pPr>
              <w:rPr>
                <w:rFonts w:ascii="Times New Roman" w:hAnsi="Times New Roman" w:cs="Times New Roman"/>
              </w:rPr>
            </w:pPr>
            <m:oMathPara>
              <m:oMath>
                <m:r>
                  <w:rPr>
                    <w:rFonts w:ascii="Cambria Math" w:hAnsi="Cambria Math" w:cs="Times New Roman"/>
                  </w:rPr>
                  <m:t xml:space="preserve">      Rdo</m:t>
                </m:r>
              </m:oMath>
            </m:oMathPara>
          </w:p>
        </w:tc>
      </w:tr>
      <w:tr w:rsidR="00D62FA1" w:rsidRPr="006F560C" w14:paraId="31634E80" w14:textId="77777777" w:rsidTr="00AA200A">
        <w:trPr>
          <w:trHeight w:val="284"/>
          <w:jc w:val="center"/>
        </w:trPr>
        <w:tc>
          <w:tcPr>
            <w:tcW w:w="1751" w:type="dxa"/>
            <w:tcBorders>
              <w:top w:val="single" w:sz="4" w:space="0" w:color="auto"/>
              <w:left w:val="nil"/>
              <w:bottom w:val="nil"/>
              <w:right w:val="nil"/>
            </w:tcBorders>
            <w:vAlign w:val="bottom"/>
          </w:tcPr>
          <w:p w14:paraId="66D76542" w14:textId="77777777" w:rsidR="00D62FA1" w:rsidRPr="000900DB" w:rsidRDefault="00D62FA1" w:rsidP="00AA200A">
            <w:pPr>
              <w:jc w:val="both"/>
              <w:rPr>
                <w:rFonts w:ascii="Times New Roman" w:hAnsi="Times New Roman" w:cs="Times New Roman"/>
              </w:rPr>
            </w:pPr>
            <m:oMathPara>
              <m:oMathParaPr>
                <m:jc m:val="left"/>
              </m:oMathParaPr>
              <m:oMath>
                <m:r>
                  <w:rPr>
                    <w:rFonts w:ascii="Cambria Math" w:hAnsi="Cambria Math" w:cs="Times New Roman"/>
                  </w:rPr>
                  <m:t>LnP</m:t>
                </m:r>
              </m:oMath>
            </m:oMathPara>
          </w:p>
        </w:tc>
        <w:tc>
          <w:tcPr>
            <w:tcW w:w="1206" w:type="dxa"/>
            <w:tcBorders>
              <w:top w:val="single" w:sz="4" w:space="0" w:color="auto"/>
              <w:left w:val="nil"/>
              <w:bottom w:val="nil"/>
              <w:right w:val="nil"/>
            </w:tcBorders>
            <w:vAlign w:val="bottom"/>
          </w:tcPr>
          <w:p w14:paraId="7054922E" w14:textId="77777777" w:rsidR="00D62FA1" w:rsidRPr="000900DB" w:rsidRDefault="00D62FA1" w:rsidP="00AA200A">
            <w:pPr>
              <w:jc w:val="right"/>
              <w:rPr>
                <w:rFonts w:ascii="Times New Roman" w:hAnsi="Times New Roman" w:cs="Times New Roman"/>
              </w:rPr>
            </w:pPr>
          </w:p>
          <w:p w14:paraId="7778DC8E" w14:textId="77777777" w:rsidR="00D62FA1" w:rsidRPr="000900DB" w:rsidRDefault="00D62FA1" w:rsidP="00AA200A">
            <w:pPr>
              <w:jc w:val="right"/>
              <w:rPr>
                <w:rFonts w:ascii="Times New Roman" w:hAnsi="Times New Roman" w:cs="Times New Roman"/>
              </w:rPr>
            </w:pPr>
            <w:r w:rsidRPr="000900DB">
              <w:rPr>
                <w:rFonts w:ascii="Times New Roman" w:hAnsi="Times New Roman" w:cs="Times New Roman"/>
              </w:rPr>
              <w:t>1,000</w:t>
            </w:r>
          </w:p>
        </w:tc>
        <w:tc>
          <w:tcPr>
            <w:tcW w:w="1173" w:type="dxa"/>
            <w:tcBorders>
              <w:top w:val="single" w:sz="4" w:space="0" w:color="auto"/>
              <w:left w:val="nil"/>
              <w:bottom w:val="nil"/>
              <w:right w:val="nil"/>
            </w:tcBorders>
            <w:vAlign w:val="bottom"/>
          </w:tcPr>
          <w:p w14:paraId="72B21883" w14:textId="77777777" w:rsidR="00D62FA1" w:rsidRPr="000900DB" w:rsidRDefault="00D62FA1" w:rsidP="00AA200A">
            <w:pPr>
              <w:jc w:val="right"/>
              <w:rPr>
                <w:rFonts w:ascii="Times New Roman" w:hAnsi="Times New Roman" w:cs="Times New Roman"/>
              </w:rPr>
            </w:pPr>
          </w:p>
          <w:p w14:paraId="35634D35" w14:textId="77777777" w:rsidR="00D62FA1" w:rsidRPr="000900DB" w:rsidRDefault="00D62FA1" w:rsidP="00AA200A">
            <w:pPr>
              <w:jc w:val="right"/>
              <w:rPr>
                <w:rFonts w:ascii="Times New Roman" w:hAnsi="Times New Roman" w:cs="Times New Roman"/>
              </w:rPr>
            </w:pPr>
          </w:p>
        </w:tc>
        <w:tc>
          <w:tcPr>
            <w:tcW w:w="1413" w:type="dxa"/>
            <w:tcBorders>
              <w:top w:val="single" w:sz="4" w:space="0" w:color="auto"/>
              <w:left w:val="nil"/>
              <w:bottom w:val="nil"/>
              <w:right w:val="nil"/>
            </w:tcBorders>
            <w:vAlign w:val="bottom"/>
          </w:tcPr>
          <w:p w14:paraId="3D95A838" w14:textId="77777777" w:rsidR="00D62FA1" w:rsidRPr="000900DB" w:rsidRDefault="00D62FA1" w:rsidP="00AA200A">
            <w:pPr>
              <w:jc w:val="right"/>
              <w:rPr>
                <w:rFonts w:ascii="Times New Roman" w:hAnsi="Times New Roman" w:cs="Times New Roman"/>
              </w:rPr>
            </w:pPr>
          </w:p>
        </w:tc>
      </w:tr>
      <w:tr w:rsidR="00D62FA1" w:rsidRPr="006F560C" w14:paraId="68D8D5BB" w14:textId="77777777" w:rsidTr="00AA200A">
        <w:trPr>
          <w:trHeight w:val="284"/>
          <w:jc w:val="center"/>
        </w:trPr>
        <w:tc>
          <w:tcPr>
            <w:tcW w:w="1751" w:type="dxa"/>
            <w:tcBorders>
              <w:top w:val="nil"/>
              <w:left w:val="nil"/>
              <w:bottom w:val="nil"/>
              <w:right w:val="nil"/>
            </w:tcBorders>
            <w:vAlign w:val="bottom"/>
          </w:tcPr>
          <w:p w14:paraId="49C75C64" w14:textId="77777777" w:rsidR="00D62FA1" w:rsidRPr="000900DB" w:rsidRDefault="00D62FA1" w:rsidP="00AA200A">
            <w:pPr>
              <w:jc w:val="both"/>
              <w:rPr>
                <w:rFonts w:ascii="Times New Roman" w:hAnsi="Times New Roman" w:cs="Times New Roman"/>
              </w:rPr>
            </w:pPr>
            <m:oMathPara>
              <m:oMathParaPr>
                <m:jc m:val="left"/>
              </m:oMathParaPr>
              <m:oMath>
                <m:r>
                  <w:rPr>
                    <w:rFonts w:ascii="Cambria Math" w:hAnsi="Cambria Math" w:cs="Times New Roman"/>
                  </w:rPr>
                  <m:t>PN</m:t>
                </m:r>
              </m:oMath>
            </m:oMathPara>
          </w:p>
        </w:tc>
        <w:tc>
          <w:tcPr>
            <w:tcW w:w="1206" w:type="dxa"/>
            <w:tcBorders>
              <w:top w:val="nil"/>
              <w:left w:val="nil"/>
              <w:bottom w:val="nil"/>
              <w:right w:val="nil"/>
            </w:tcBorders>
            <w:vAlign w:val="bottom"/>
          </w:tcPr>
          <w:p w14:paraId="56C61906" w14:textId="58BAEAC3" w:rsidR="00D62FA1" w:rsidRPr="000900DB" w:rsidRDefault="00D62FA1" w:rsidP="000900DB">
            <w:pPr>
              <w:jc w:val="right"/>
              <w:rPr>
                <w:rFonts w:ascii="Times New Roman" w:hAnsi="Times New Roman" w:cs="Times New Roman"/>
              </w:rPr>
            </w:pPr>
            <w:r w:rsidRPr="000900DB">
              <w:rPr>
                <w:rFonts w:ascii="Times New Roman" w:hAnsi="Times New Roman" w:cs="Times New Roman"/>
              </w:rPr>
              <w:t>0,797</w:t>
            </w:r>
          </w:p>
        </w:tc>
        <w:tc>
          <w:tcPr>
            <w:tcW w:w="1173" w:type="dxa"/>
            <w:tcBorders>
              <w:top w:val="nil"/>
              <w:left w:val="nil"/>
              <w:bottom w:val="nil"/>
              <w:right w:val="nil"/>
            </w:tcBorders>
            <w:vAlign w:val="bottom"/>
          </w:tcPr>
          <w:p w14:paraId="05178385" w14:textId="00CD78BF" w:rsidR="00D62FA1" w:rsidRPr="000900DB" w:rsidRDefault="00D62FA1" w:rsidP="000900DB">
            <w:pPr>
              <w:rPr>
                <w:rFonts w:ascii="Times New Roman" w:hAnsi="Times New Roman" w:cs="Times New Roman"/>
              </w:rPr>
            </w:pPr>
            <w:r w:rsidRPr="000900DB">
              <w:rPr>
                <w:rFonts w:ascii="Times New Roman" w:hAnsi="Times New Roman" w:cs="Times New Roman"/>
              </w:rPr>
              <w:t xml:space="preserve">        1,000</w:t>
            </w:r>
          </w:p>
        </w:tc>
        <w:tc>
          <w:tcPr>
            <w:tcW w:w="1413" w:type="dxa"/>
            <w:tcBorders>
              <w:top w:val="nil"/>
              <w:left w:val="nil"/>
              <w:bottom w:val="nil"/>
              <w:right w:val="nil"/>
            </w:tcBorders>
            <w:vAlign w:val="bottom"/>
          </w:tcPr>
          <w:p w14:paraId="721D4B26" w14:textId="711088D7" w:rsidR="00D62FA1" w:rsidRPr="000900DB" w:rsidRDefault="00D62FA1" w:rsidP="00AA200A">
            <w:pPr>
              <w:jc w:val="right"/>
              <w:rPr>
                <w:rFonts w:ascii="Times New Roman" w:hAnsi="Times New Roman" w:cs="Times New Roman"/>
              </w:rPr>
            </w:pPr>
          </w:p>
        </w:tc>
      </w:tr>
      <w:tr w:rsidR="00D62FA1" w:rsidRPr="006F560C" w14:paraId="25C64148" w14:textId="77777777" w:rsidTr="00AA200A">
        <w:trPr>
          <w:trHeight w:val="284"/>
          <w:jc w:val="center"/>
        </w:trPr>
        <w:tc>
          <w:tcPr>
            <w:tcW w:w="1751" w:type="dxa"/>
            <w:tcBorders>
              <w:top w:val="nil"/>
              <w:left w:val="nil"/>
              <w:bottom w:val="single" w:sz="4" w:space="0" w:color="auto"/>
              <w:right w:val="nil"/>
            </w:tcBorders>
            <w:vAlign w:val="bottom"/>
          </w:tcPr>
          <w:p w14:paraId="618C5A8C" w14:textId="77777777" w:rsidR="00D62FA1" w:rsidRPr="000900DB" w:rsidRDefault="00D62FA1" w:rsidP="00AA200A">
            <w:pPr>
              <w:jc w:val="both"/>
              <w:rPr>
                <w:rFonts w:ascii="Times New Roman" w:hAnsi="Times New Roman" w:cs="Times New Roman"/>
              </w:rPr>
            </w:pPr>
            <m:oMathPara>
              <m:oMathParaPr>
                <m:jc m:val="left"/>
              </m:oMathParaPr>
              <m:oMath>
                <m:r>
                  <w:rPr>
                    <w:rFonts w:ascii="Cambria Math" w:hAnsi="Cambria Math" w:cs="Times New Roman"/>
                  </w:rPr>
                  <m:t>Rdo</m:t>
                </m:r>
              </m:oMath>
            </m:oMathPara>
          </w:p>
        </w:tc>
        <w:tc>
          <w:tcPr>
            <w:tcW w:w="1206" w:type="dxa"/>
            <w:tcBorders>
              <w:top w:val="nil"/>
              <w:left w:val="nil"/>
              <w:bottom w:val="single" w:sz="4" w:space="0" w:color="auto"/>
              <w:right w:val="nil"/>
            </w:tcBorders>
            <w:vAlign w:val="bottom"/>
          </w:tcPr>
          <w:p w14:paraId="607A911D" w14:textId="3E4BE4AD" w:rsidR="00D62FA1" w:rsidRPr="000900DB" w:rsidRDefault="00D62FA1" w:rsidP="00AA200A">
            <w:pPr>
              <w:jc w:val="right"/>
              <w:rPr>
                <w:rFonts w:ascii="Times New Roman" w:hAnsi="Times New Roman" w:cs="Times New Roman"/>
              </w:rPr>
            </w:pPr>
            <w:r w:rsidRPr="000900DB">
              <w:rPr>
                <w:rFonts w:ascii="Times New Roman" w:hAnsi="Times New Roman" w:cs="Times New Roman"/>
              </w:rPr>
              <w:t>0,775</w:t>
            </w:r>
          </w:p>
        </w:tc>
        <w:tc>
          <w:tcPr>
            <w:tcW w:w="1173" w:type="dxa"/>
            <w:tcBorders>
              <w:top w:val="nil"/>
              <w:left w:val="nil"/>
              <w:bottom w:val="single" w:sz="4" w:space="0" w:color="auto"/>
              <w:right w:val="nil"/>
            </w:tcBorders>
            <w:vAlign w:val="bottom"/>
          </w:tcPr>
          <w:p w14:paraId="591DE0B9" w14:textId="0E4F3809" w:rsidR="00D62FA1" w:rsidRPr="000900DB" w:rsidRDefault="00D62FA1" w:rsidP="00AA200A">
            <w:pPr>
              <w:jc w:val="right"/>
              <w:rPr>
                <w:rFonts w:ascii="Times New Roman" w:hAnsi="Times New Roman" w:cs="Times New Roman"/>
              </w:rPr>
            </w:pPr>
            <w:r w:rsidRPr="000900DB">
              <w:rPr>
                <w:rFonts w:ascii="Times New Roman" w:hAnsi="Times New Roman" w:cs="Times New Roman"/>
              </w:rPr>
              <w:t xml:space="preserve">   0,830</w:t>
            </w:r>
          </w:p>
        </w:tc>
        <w:tc>
          <w:tcPr>
            <w:tcW w:w="1413" w:type="dxa"/>
            <w:tcBorders>
              <w:top w:val="nil"/>
              <w:left w:val="nil"/>
              <w:bottom w:val="single" w:sz="4" w:space="0" w:color="auto"/>
              <w:right w:val="nil"/>
            </w:tcBorders>
            <w:vAlign w:val="bottom"/>
          </w:tcPr>
          <w:p w14:paraId="6A42F537" w14:textId="77777777" w:rsidR="00D62FA1" w:rsidRPr="000900DB" w:rsidRDefault="00D62FA1" w:rsidP="00AA200A">
            <w:pPr>
              <w:jc w:val="right"/>
              <w:rPr>
                <w:rFonts w:ascii="Times New Roman" w:hAnsi="Times New Roman" w:cs="Times New Roman"/>
              </w:rPr>
            </w:pPr>
            <w:r w:rsidRPr="000900DB">
              <w:rPr>
                <w:rFonts w:ascii="Times New Roman" w:hAnsi="Times New Roman" w:cs="Times New Roman"/>
              </w:rPr>
              <w:t>1,000</w:t>
            </w:r>
          </w:p>
        </w:tc>
      </w:tr>
    </w:tbl>
    <w:p w14:paraId="56CF023D" w14:textId="22A43959" w:rsidR="00244931" w:rsidRPr="006C6424" w:rsidRDefault="00244931" w:rsidP="006C6424">
      <w:pPr>
        <w:spacing w:line="360" w:lineRule="auto"/>
        <w:jc w:val="both"/>
        <w:rPr>
          <w:rFonts w:ascii="Times New Roman" w:eastAsiaTheme="minorEastAsia" w:hAnsi="Times New Roman" w:cs="Times New Roman"/>
          <w:u w:val="single"/>
        </w:rPr>
      </w:pPr>
    </w:p>
    <w:p w14:paraId="6D8648BF" w14:textId="5AA2C892" w:rsidR="00842B7F" w:rsidRPr="006C6424" w:rsidRDefault="00842B7F" w:rsidP="006C6424">
      <w:pPr>
        <w:spacing w:line="360" w:lineRule="auto"/>
        <w:jc w:val="both"/>
        <w:rPr>
          <w:rFonts w:ascii="Times New Roman" w:hAnsi="Times New Roman" w:cs="Times New Roman"/>
          <w:u w:val="single"/>
        </w:rPr>
      </w:pPr>
      <w:bookmarkStart w:id="6" w:name="_Toc138429108"/>
      <w:r w:rsidRPr="006C6424">
        <w:rPr>
          <w:rFonts w:ascii="Times New Roman" w:hAnsi="Times New Roman" w:cs="Times New Roman"/>
          <w:u w:val="single"/>
        </w:rPr>
        <w:t>Resultados del Análisis de Relevancia Valorativa</w:t>
      </w:r>
      <w:bookmarkEnd w:id="6"/>
    </w:p>
    <w:p w14:paraId="0D72FFE1" w14:textId="1C3E5C22" w:rsidR="00EC4A1B" w:rsidRPr="006C6424" w:rsidRDefault="00EC4A1B" w:rsidP="006C6424">
      <w:pPr>
        <w:spacing w:line="360" w:lineRule="auto"/>
        <w:jc w:val="both"/>
        <w:rPr>
          <w:rFonts w:ascii="Times New Roman" w:hAnsi="Times New Roman" w:cs="Times New Roman"/>
        </w:rPr>
      </w:pPr>
      <w:r w:rsidRPr="006C6424">
        <w:rPr>
          <w:rFonts w:ascii="Times New Roman" w:hAnsi="Times New Roman" w:cs="Times New Roman"/>
        </w:rPr>
        <w:t>A continuación, se presentan los resultados referidos a la contrastación de las hipótesis H</w:t>
      </w:r>
      <w:r w:rsidRPr="006C6424">
        <w:rPr>
          <w:rFonts w:ascii="Times New Roman" w:hAnsi="Times New Roman" w:cs="Times New Roman"/>
          <w:vertAlign w:val="subscript"/>
        </w:rPr>
        <w:t>1</w:t>
      </w:r>
      <w:r w:rsidRPr="006C6424">
        <w:rPr>
          <w:rFonts w:ascii="Times New Roman" w:hAnsi="Times New Roman" w:cs="Times New Roman"/>
        </w:rPr>
        <w:t xml:space="preserve"> y H</w:t>
      </w:r>
      <w:r w:rsidRPr="006C6424">
        <w:rPr>
          <w:rFonts w:ascii="Times New Roman" w:hAnsi="Times New Roman" w:cs="Times New Roman"/>
          <w:vertAlign w:val="subscript"/>
        </w:rPr>
        <w:t>2</w:t>
      </w:r>
      <w:r w:rsidRPr="006C6424">
        <w:rPr>
          <w:rFonts w:ascii="Times New Roman" w:hAnsi="Times New Roman" w:cs="Times New Roman"/>
        </w:rPr>
        <w:t xml:space="preserve">. </w:t>
      </w:r>
    </w:p>
    <w:p w14:paraId="0FCF00E1" w14:textId="34B922EF" w:rsidR="00EC4A1B" w:rsidRPr="006C6424" w:rsidRDefault="00AB3649" w:rsidP="006C6424">
      <w:pPr>
        <w:spacing w:line="360" w:lineRule="auto"/>
        <w:jc w:val="both"/>
        <w:rPr>
          <w:rFonts w:ascii="Times New Roman" w:hAnsi="Times New Roman" w:cs="Times New Roman"/>
        </w:rPr>
      </w:pPr>
      <w:r w:rsidRPr="006C6424">
        <w:rPr>
          <w:rFonts w:ascii="Times New Roman" w:hAnsi="Times New Roman" w:cs="Times New Roman"/>
        </w:rPr>
        <w:t>L</w:t>
      </w:r>
      <w:r w:rsidR="00EC4A1B" w:rsidRPr="006C6424">
        <w:rPr>
          <w:rFonts w:ascii="Times New Roman" w:hAnsi="Times New Roman" w:cs="Times New Roman"/>
        </w:rPr>
        <w:t>a Tabla VII exhibe los resultados del procesamiento del modelo I que se ha estimado</w:t>
      </w:r>
      <w:r w:rsidR="00824233" w:rsidRPr="006C6424">
        <w:rPr>
          <w:rFonts w:ascii="Times New Roman" w:hAnsi="Times New Roman" w:cs="Times New Roman"/>
        </w:rPr>
        <w:t xml:space="preserve"> con efectos fijos</w:t>
      </w:r>
      <w:r w:rsidR="00EC4A1B" w:rsidRPr="006C6424">
        <w:rPr>
          <w:rFonts w:ascii="Times New Roman" w:hAnsi="Times New Roman" w:cs="Times New Roman"/>
          <w:vertAlign w:val="superscript"/>
        </w:rPr>
        <w:t>.</w:t>
      </w:r>
      <w:r w:rsidR="00EC4A1B" w:rsidRPr="006C6424">
        <w:rPr>
          <w:rFonts w:ascii="Times New Roman" w:hAnsi="Times New Roman" w:cs="Times New Roman"/>
        </w:rPr>
        <w:t xml:space="preserve"> </w:t>
      </w:r>
    </w:p>
    <w:p w14:paraId="13617CAD" w14:textId="324AF48D" w:rsidR="00EC4A1B" w:rsidRPr="006C6424" w:rsidRDefault="00EC4A1B" w:rsidP="006C6424">
      <w:pPr>
        <w:spacing w:line="360" w:lineRule="auto"/>
        <w:jc w:val="both"/>
        <w:rPr>
          <w:rFonts w:ascii="Times New Roman" w:hAnsi="Times New Roman" w:cs="Times New Roman"/>
        </w:rPr>
      </w:pPr>
      <w:r w:rsidRPr="006C6424">
        <w:rPr>
          <w:rFonts w:ascii="Times New Roman" w:hAnsi="Times New Roman" w:cs="Times New Roman"/>
        </w:rPr>
        <w:t xml:space="preserve">Se observa que, </w:t>
      </w:r>
      <w:r w:rsidR="0091270D" w:rsidRPr="006C6424">
        <w:rPr>
          <w:rFonts w:ascii="Times New Roman" w:hAnsi="Times New Roman" w:cs="Times New Roman"/>
        </w:rPr>
        <w:t>el</w:t>
      </w:r>
      <w:r w:rsidRPr="006C6424">
        <w:rPr>
          <w:rFonts w:ascii="Times New Roman" w:hAnsi="Times New Roman" w:cs="Times New Roman"/>
        </w:rPr>
        <w:t xml:space="preserve"> coeficiente de determinación R</w:t>
      </w:r>
      <w:r w:rsidRPr="006C6424">
        <w:rPr>
          <w:rFonts w:ascii="Times New Roman" w:hAnsi="Times New Roman" w:cs="Times New Roman"/>
          <w:vertAlign w:val="superscript"/>
        </w:rPr>
        <w:t>2</w:t>
      </w:r>
      <w:r w:rsidRPr="006C6424">
        <w:rPr>
          <w:rFonts w:ascii="Times New Roman" w:hAnsi="Times New Roman" w:cs="Times New Roman"/>
        </w:rPr>
        <w:t xml:space="preserve"> </w:t>
      </w:r>
      <w:r w:rsidR="0091270D" w:rsidRPr="006C6424">
        <w:rPr>
          <w:rFonts w:ascii="Times New Roman" w:hAnsi="Times New Roman" w:cs="Times New Roman"/>
        </w:rPr>
        <w:t xml:space="preserve">within </w:t>
      </w:r>
      <w:r w:rsidRPr="006C6424">
        <w:rPr>
          <w:rFonts w:ascii="Times New Roman" w:hAnsi="Times New Roman" w:cs="Times New Roman"/>
        </w:rPr>
        <w:t>(</w:t>
      </w:r>
      <w:r w:rsidR="0091270D" w:rsidRPr="006C6424">
        <w:rPr>
          <w:rFonts w:ascii="Times New Roman" w:hAnsi="Times New Roman" w:cs="Times New Roman"/>
        </w:rPr>
        <w:t>69</w:t>
      </w:r>
      <w:r w:rsidR="00AA35DA" w:rsidRPr="006C6424">
        <w:rPr>
          <w:rFonts w:ascii="Times New Roman" w:hAnsi="Times New Roman" w:cs="Times New Roman"/>
        </w:rPr>
        <w:t>,5</w:t>
      </w:r>
      <w:r w:rsidR="0091270D" w:rsidRPr="006C6424">
        <w:rPr>
          <w:rFonts w:ascii="Times New Roman" w:hAnsi="Times New Roman" w:cs="Times New Roman"/>
        </w:rPr>
        <w:t>9</w:t>
      </w:r>
      <w:r w:rsidRPr="006C6424">
        <w:rPr>
          <w:rFonts w:ascii="Times New Roman" w:hAnsi="Times New Roman" w:cs="Times New Roman"/>
        </w:rPr>
        <w:t xml:space="preserve">) </w:t>
      </w:r>
      <w:r w:rsidR="0091270D" w:rsidRPr="006C6424">
        <w:rPr>
          <w:rFonts w:ascii="Times New Roman" w:hAnsi="Times New Roman" w:cs="Times New Roman"/>
        </w:rPr>
        <w:t>es</w:t>
      </w:r>
      <w:r w:rsidR="00D6547E" w:rsidRPr="006C6424">
        <w:rPr>
          <w:rFonts w:ascii="Times New Roman" w:hAnsi="Times New Roman" w:cs="Times New Roman"/>
        </w:rPr>
        <w:t xml:space="preserve"> superior a los resultados arrojados p</w:t>
      </w:r>
      <w:r w:rsidR="004923CC">
        <w:rPr>
          <w:rFonts w:ascii="Times New Roman" w:hAnsi="Times New Roman" w:cs="Times New Roman"/>
        </w:rPr>
        <w:t>ara países de América Latina como en Marques et al.</w:t>
      </w:r>
      <w:r w:rsidR="004923CC" w:rsidRPr="004923CC">
        <w:rPr>
          <w:rFonts w:ascii="Times New Roman" w:hAnsi="Times New Roman" w:cs="Times New Roman"/>
        </w:rPr>
        <w:t xml:space="preserve"> </w:t>
      </w:r>
      <w:sdt>
        <w:sdtPr>
          <w:rPr>
            <w:rFonts w:ascii="Times New Roman" w:hAnsi="Times New Roman" w:cs="Times New Roman"/>
          </w:rPr>
          <w:id w:val="364247915"/>
          <w:citation/>
        </w:sdtPr>
        <w:sdtContent>
          <w:r w:rsidR="004923CC" w:rsidRPr="006C6424">
            <w:rPr>
              <w:rFonts w:ascii="Times New Roman" w:hAnsi="Times New Roman" w:cs="Times New Roman"/>
            </w:rPr>
            <w:fldChar w:fldCharType="begin"/>
          </w:r>
          <w:r w:rsidR="004923CC">
            <w:rPr>
              <w:rFonts w:ascii="Times New Roman" w:hAnsi="Times New Roman" w:cs="Times New Roman"/>
            </w:rPr>
            <w:instrText xml:space="preserve">CITATION Mar22 \n  \t  \l 11274 </w:instrText>
          </w:r>
          <w:r w:rsidR="004923CC" w:rsidRPr="006C6424">
            <w:rPr>
              <w:rFonts w:ascii="Times New Roman" w:hAnsi="Times New Roman" w:cs="Times New Roman"/>
            </w:rPr>
            <w:fldChar w:fldCharType="separate"/>
          </w:r>
          <w:r w:rsidR="004923CC" w:rsidRPr="004923CC">
            <w:rPr>
              <w:rFonts w:ascii="Times New Roman" w:hAnsi="Times New Roman" w:cs="Times New Roman"/>
              <w:noProof/>
            </w:rPr>
            <w:t>(2022)</w:t>
          </w:r>
          <w:r w:rsidR="004923CC" w:rsidRPr="006C6424">
            <w:rPr>
              <w:rFonts w:ascii="Times New Roman" w:hAnsi="Times New Roman" w:cs="Times New Roman"/>
            </w:rPr>
            <w:fldChar w:fldCharType="end"/>
          </w:r>
        </w:sdtContent>
      </w:sdt>
      <w:r w:rsidR="004923CC">
        <w:rPr>
          <w:rFonts w:ascii="Times New Roman" w:hAnsi="Times New Roman" w:cs="Times New Roman"/>
        </w:rPr>
        <w:t xml:space="preserve"> y Pacheco-Ortiz et al.  </w:t>
      </w:r>
      <w:r w:rsidR="00D6547E" w:rsidRPr="006C6424">
        <w:rPr>
          <w:rFonts w:ascii="Times New Roman" w:hAnsi="Times New Roman" w:cs="Times New Roman"/>
        </w:rPr>
        <w:t xml:space="preserve"> </w:t>
      </w:r>
      <w:sdt>
        <w:sdtPr>
          <w:rPr>
            <w:rFonts w:ascii="Times New Roman" w:hAnsi="Times New Roman" w:cs="Times New Roman"/>
          </w:rPr>
          <w:id w:val="-203715979"/>
          <w:citation/>
        </w:sdtPr>
        <w:sdtContent>
          <w:r w:rsidR="00D6547E" w:rsidRPr="006C6424">
            <w:rPr>
              <w:rFonts w:ascii="Times New Roman" w:hAnsi="Times New Roman" w:cs="Times New Roman"/>
            </w:rPr>
            <w:fldChar w:fldCharType="begin"/>
          </w:r>
          <w:r w:rsidR="004923CC">
            <w:rPr>
              <w:rFonts w:ascii="Times New Roman" w:hAnsi="Times New Roman" w:cs="Times New Roman"/>
            </w:rPr>
            <w:instrText xml:space="preserve">CITATION Pac21 \n  \t  \l 11274 </w:instrText>
          </w:r>
          <w:r w:rsidR="00D6547E" w:rsidRPr="006C6424">
            <w:rPr>
              <w:rFonts w:ascii="Times New Roman" w:hAnsi="Times New Roman" w:cs="Times New Roman"/>
            </w:rPr>
            <w:fldChar w:fldCharType="separate"/>
          </w:r>
          <w:r w:rsidR="004923CC" w:rsidRPr="004923CC">
            <w:rPr>
              <w:rFonts w:ascii="Times New Roman" w:hAnsi="Times New Roman" w:cs="Times New Roman"/>
              <w:noProof/>
            </w:rPr>
            <w:t>(2021)</w:t>
          </w:r>
          <w:r w:rsidR="00D6547E" w:rsidRPr="006C6424">
            <w:rPr>
              <w:rFonts w:ascii="Times New Roman" w:hAnsi="Times New Roman" w:cs="Times New Roman"/>
            </w:rPr>
            <w:fldChar w:fldCharType="end"/>
          </w:r>
        </w:sdtContent>
      </w:sdt>
      <w:r w:rsidR="004923CC">
        <w:rPr>
          <w:rFonts w:ascii="Times New Roman" w:hAnsi="Times New Roman" w:cs="Times New Roman"/>
        </w:rPr>
        <w:t xml:space="preserve"> y </w:t>
      </w:r>
      <w:r w:rsidR="00D4476B">
        <w:rPr>
          <w:rFonts w:ascii="Times New Roman" w:hAnsi="Times New Roman" w:cs="Times New Roman"/>
        </w:rPr>
        <w:t>muestra un alto poder explicativo del modelo.</w:t>
      </w:r>
    </w:p>
    <w:p w14:paraId="540E8F1B" w14:textId="533CE4E6" w:rsidR="00AA35DA" w:rsidRPr="006C6424" w:rsidRDefault="00334560" w:rsidP="006C6424">
      <w:pPr>
        <w:spacing w:line="360" w:lineRule="auto"/>
        <w:jc w:val="both"/>
        <w:rPr>
          <w:rFonts w:ascii="Times New Roman" w:eastAsiaTheme="minorEastAsia" w:hAnsi="Times New Roman" w:cs="Times New Roman"/>
          <w:iCs/>
        </w:rPr>
      </w:pPr>
      <w:r w:rsidRPr="00412786">
        <w:rPr>
          <w:rFonts w:ascii="Times New Roman" w:hAnsi="Times New Roman" w:cs="Times New Roman"/>
        </w:rPr>
        <w:t>L</w:t>
      </w:r>
      <w:r w:rsidR="00AA35DA" w:rsidRPr="00412786">
        <w:rPr>
          <w:rFonts w:ascii="Times New Roman" w:hAnsi="Times New Roman" w:cs="Times New Roman"/>
        </w:rPr>
        <w:t xml:space="preserve">os resultados </w:t>
      </w:r>
      <w:r w:rsidR="00BA18E1" w:rsidRPr="00412786">
        <w:rPr>
          <w:rFonts w:ascii="Times New Roman" w:hAnsi="Times New Roman" w:cs="Times New Roman"/>
        </w:rPr>
        <w:t>evidencian</w:t>
      </w:r>
      <w:r w:rsidR="00AA35DA" w:rsidRPr="00412786">
        <w:rPr>
          <w:rFonts w:ascii="Times New Roman" w:hAnsi="Times New Roman" w:cs="Times New Roman"/>
        </w:rPr>
        <w:t xml:space="preserve"> que la variable </w:t>
      </w:r>
      <m:oMath>
        <m:r>
          <w:rPr>
            <w:rFonts w:ascii="Cambria Math" w:hAnsi="Cambria Math" w:cs="Times New Roman"/>
          </w:rPr>
          <m:t>PN</m:t>
        </m:r>
      </m:oMath>
      <w:r w:rsidR="00AA35DA" w:rsidRPr="00412786">
        <w:rPr>
          <w:rFonts w:ascii="Times New Roman" w:hAnsi="Times New Roman" w:cs="Times New Roman"/>
        </w:rPr>
        <w:t xml:space="preserve"> </w:t>
      </w:r>
      <w:r w:rsidR="00412786" w:rsidRPr="00412786">
        <w:rPr>
          <w:rFonts w:ascii="Times New Roman" w:hAnsi="Times New Roman" w:cs="Times New Roman"/>
        </w:rPr>
        <w:t xml:space="preserve">no es significativa en la etapa de empleo de las normas contables locales , por lo tanto </w:t>
      </w:r>
      <w:r w:rsidR="00AA35DA" w:rsidRPr="00412786">
        <w:rPr>
          <w:rFonts w:ascii="Times New Roman" w:hAnsi="Times New Roman" w:cs="Times New Roman"/>
        </w:rPr>
        <w:t xml:space="preserve">no es </w:t>
      </w:r>
      <w:r w:rsidR="00412786" w:rsidRPr="00412786">
        <w:rPr>
          <w:rFonts w:ascii="Times New Roman" w:hAnsi="Times New Roman" w:cs="Times New Roman"/>
        </w:rPr>
        <w:t xml:space="preserve">considerada por los </w:t>
      </w:r>
      <w:r w:rsidR="00AA35DA" w:rsidRPr="00412786">
        <w:rPr>
          <w:rFonts w:ascii="Times New Roman" w:hAnsi="Times New Roman" w:cs="Times New Roman"/>
        </w:rPr>
        <w:t>inversores en sus modelos decisorios .</w:t>
      </w:r>
      <w:r w:rsidR="001F69A2" w:rsidRPr="00412786">
        <w:rPr>
          <w:rFonts w:ascii="Times New Roman" w:hAnsi="Times New Roman" w:cs="Times New Roman"/>
        </w:rPr>
        <w:t xml:space="preserve"> De</w:t>
      </w:r>
      <w:r w:rsidR="001F69A2" w:rsidRPr="006C6424">
        <w:rPr>
          <w:rFonts w:ascii="Times New Roman" w:hAnsi="Times New Roman" w:cs="Times New Roman"/>
        </w:rPr>
        <w:t xml:space="preserve"> esta manera, se rechaza la hipótesis H</w:t>
      </w:r>
      <w:r w:rsidR="001F69A2" w:rsidRPr="006C6424">
        <w:rPr>
          <w:rFonts w:ascii="Times New Roman" w:hAnsi="Times New Roman" w:cs="Times New Roman"/>
          <w:vertAlign w:val="subscript"/>
        </w:rPr>
        <w:t>1</w:t>
      </w:r>
      <w:r w:rsidR="001F69A2" w:rsidRPr="006C6424">
        <w:rPr>
          <w:rFonts w:ascii="Times New Roman" w:hAnsi="Times New Roman" w:cs="Times New Roman"/>
          <w:vertAlign w:val="superscript"/>
        </w:rPr>
        <w:t xml:space="preserve"> </w:t>
      </w:r>
      <w:r w:rsidR="001F69A2" w:rsidRPr="006C6424">
        <w:rPr>
          <w:rFonts w:ascii="Times New Roman" w:hAnsi="Times New Roman" w:cs="Times New Roman"/>
        </w:rPr>
        <w:t xml:space="preserve">puesto que el </w:t>
      </w:r>
      <m:oMath>
        <m:r>
          <w:rPr>
            <w:rFonts w:ascii="Cambria Math" w:hAnsi="Cambria Math" w:cs="Times New Roman"/>
          </w:rPr>
          <m:t xml:space="preserve">PN </m:t>
        </m:r>
      </m:oMath>
      <w:r w:rsidR="001F69A2" w:rsidRPr="006C6424">
        <w:rPr>
          <w:rFonts w:ascii="Times New Roman" w:eastAsiaTheme="minorEastAsia" w:hAnsi="Times New Roman" w:cs="Times New Roman"/>
          <w:iCs/>
        </w:rPr>
        <w:t xml:space="preserve">no posee relevancia para el valor en </w:t>
      </w:r>
      <w:r w:rsidR="00BA18E1">
        <w:rPr>
          <w:rFonts w:ascii="Times New Roman" w:eastAsiaTheme="minorEastAsia" w:hAnsi="Times New Roman" w:cs="Times New Roman"/>
          <w:iCs/>
        </w:rPr>
        <w:t xml:space="preserve">esta </w:t>
      </w:r>
      <w:r w:rsidR="001F69A2" w:rsidRPr="006C6424">
        <w:rPr>
          <w:rFonts w:ascii="Times New Roman" w:eastAsiaTheme="minorEastAsia" w:hAnsi="Times New Roman" w:cs="Times New Roman"/>
          <w:iCs/>
        </w:rPr>
        <w:t xml:space="preserve">etapa </w:t>
      </w:r>
      <w:r w:rsidR="00412786">
        <w:rPr>
          <w:rFonts w:ascii="Times New Roman" w:eastAsiaTheme="minorEastAsia" w:hAnsi="Times New Roman" w:cs="Times New Roman"/>
          <w:iCs/>
        </w:rPr>
        <w:t xml:space="preserve">y por lo tanto no reviste utilidad  para los </w:t>
      </w:r>
      <w:r w:rsidR="00BA18E1">
        <w:rPr>
          <w:rFonts w:ascii="Times New Roman" w:eastAsiaTheme="minorEastAsia" w:hAnsi="Times New Roman" w:cs="Times New Roman"/>
          <w:iCs/>
        </w:rPr>
        <w:t xml:space="preserve"> inversores de las instituciones financieras</w:t>
      </w:r>
      <w:r w:rsidR="00412786">
        <w:rPr>
          <w:rFonts w:ascii="Times New Roman" w:eastAsiaTheme="minorEastAsia" w:hAnsi="Times New Roman" w:cs="Times New Roman"/>
          <w:iCs/>
        </w:rPr>
        <w:t xml:space="preserve">. </w:t>
      </w:r>
    </w:p>
    <w:p w14:paraId="2B300D98" w14:textId="334E5420" w:rsidR="00842B7F" w:rsidRPr="006C6424" w:rsidRDefault="001F69A2" w:rsidP="006C6424">
      <w:pPr>
        <w:spacing w:line="360" w:lineRule="auto"/>
        <w:jc w:val="both"/>
        <w:rPr>
          <w:rFonts w:ascii="Times New Roman" w:hAnsi="Times New Roman" w:cs="Times New Roman"/>
        </w:rPr>
      </w:pPr>
      <w:r w:rsidRPr="006C6424">
        <w:rPr>
          <w:rFonts w:ascii="Times New Roman" w:hAnsi="Times New Roman" w:cs="Times New Roman"/>
        </w:rPr>
        <w:t xml:space="preserve">Con respecto </w:t>
      </w:r>
      <w:r w:rsidR="00334560" w:rsidRPr="006C6424">
        <w:rPr>
          <w:rFonts w:ascii="Times New Roman" w:hAnsi="Times New Roman" w:cs="Times New Roman"/>
        </w:rPr>
        <w:t>a la variable</w:t>
      </w:r>
      <w:r w:rsidRPr="006C6424">
        <w:rPr>
          <w:rFonts w:ascii="Times New Roman" w:hAnsi="Times New Roman" w:cs="Times New Roman"/>
        </w:rPr>
        <w:t xml:space="preserve"> </w:t>
      </w:r>
      <m:oMath>
        <m:r>
          <w:rPr>
            <w:rFonts w:ascii="Cambria Math" w:hAnsi="Cambria Math" w:cs="Times New Roman"/>
          </w:rPr>
          <m:t>Rdo</m:t>
        </m:r>
      </m:oMath>
      <w:r w:rsidRPr="006C6424">
        <w:rPr>
          <w:rFonts w:ascii="Times New Roman" w:hAnsi="Times New Roman" w:cs="Times New Roman"/>
        </w:rPr>
        <w:t xml:space="preserve">, es </w:t>
      </w:r>
      <w:r w:rsidR="00CD1C25">
        <w:rPr>
          <w:rFonts w:ascii="Times New Roman" w:hAnsi="Times New Roman" w:cs="Times New Roman"/>
        </w:rPr>
        <w:t xml:space="preserve">útil para la toma de decisiones de los inversores del sector bancario </w:t>
      </w:r>
      <w:r w:rsidRPr="006C6424">
        <w:rPr>
          <w:rFonts w:ascii="Times New Roman" w:hAnsi="Times New Roman" w:cs="Times New Roman"/>
        </w:rPr>
        <w:t>en la etapa del empleo de los estándares locales</w:t>
      </w:r>
      <w:r w:rsidR="00CD1C25">
        <w:rPr>
          <w:rFonts w:ascii="Times New Roman" w:hAnsi="Times New Roman" w:cs="Times New Roman"/>
        </w:rPr>
        <w:t>,</w:t>
      </w:r>
      <w:r w:rsidRPr="006C6424">
        <w:rPr>
          <w:rFonts w:ascii="Times New Roman" w:hAnsi="Times New Roman" w:cs="Times New Roman"/>
        </w:rPr>
        <w:t xml:space="preserve"> </w:t>
      </w:r>
      <w:r w:rsidR="00CD1C25">
        <w:rPr>
          <w:rFonts w:ascii="Times New Roman" w:hAnsi="Times New Roman" w:cs="Times New Roman"/>
        </w:rPr>
        <w:t>ya</w:t>
      </w:r>
      <w:r w:rsidRPr="006C6424">
        <w:rPr>
          <w:rFonts w:ascii="Times New Roman" w:hAnsi="Times New Roman" w:cs="Times New Roman"/>
        </w:rPr>
        <w:t xml:space="preserve"> que </w:t>
      </w:r>
      <w:r w:rsidR="00CD1C25">
        <w:rPr>
          <w:rFonts w:ascii="Times New Roman" w:hAnsi="Times New Roman" w:cs="Times New Roman"/>
        </w:rPr>
        <w:t xml:space="preserve">esta variable </w:t>
      </w:r>
      <w:r w:rsidRPr="006C6424">
        <w:rPr>
          <w:rFonts w:ascii="Times New Roman" w:hAnsi="Times New Roman" w:cs="Times New Roman"/>
        </w:rPr>
        <w:t>es significativa en los ejercicios que comprende este período de análisis.</w:t>
      </w:r>
      <w:r w:rsidR="00A4134A" w:rsidRPr="006C6424">
        <w:rPr>
          <w:rFonts w:ascii="Times New Roman" w:hAnsi="Times New Roman" w:cs="Times New Roman"/>
        </w:rPr>
        <w:t xml:space="preserve"> </w:t>
      </w:r>
      <w:r w:rsidR="00CD1C25">
        <w:rPr>
          <w:rFonts w:ascii="Times New Roman" w:hAnsi="Times New Roman" w:cs="Times New Roman"/>
        </w:rPr>
        <w:t>Además, s</w:t>
      </w:r>
      <w:r w:rsidR="00A4134A" w:rsidRPr="006C6424">
        <w:rPr>
          <w:rFonts w:ascii="Times New Roman" w:hAnsi="Times New Roman" w:cs="Times New Roman"/>
        </w:rPr>
        <w:t xml:space="preserve">i se observa el coeficiente de la </w:t>
      </w:r>
      <w:r w:rsidR="00A4134A" w:rsidRPr="006C6424">
        <w:rPr>
          <w:rFonts w:ascii="Times New Roman" w:hAnsi="Times New Roman" w:cs="Times New Roman"/>
        </w:rPr>
        <w:lastRenderedPageBreak/>
        <w:t xml:space="preserve">variable </w:t>
      </w:r>
      <m:oMath>
        <m:r>
          <w:rPr>
            <w:rFonts w:ascii="Cambria Math" w:hAnsi="Cambria Math" w:cs="Times New Roman"/>
          </w:rPr>
          <m:t>Rdo</m:t>
        </m:r>
      </m:oMath>
      <w:r w:rsidR="00A4134A" w:rsidRPr="006C6424">
        <w:rPr>
          <w:rFonts w:ascii="Times New Roman" w:eastAsiaTheme="minorEastAsia" w:hAnsi="Times New Roman" w:cs="Times New Roman"/>
          <w:iCs/>
        </w:rPr>
        <w:t xml:space="preserve">, </w:t>
      </w:r>
      <w:r w:rsidR="00CD1C25">
        <w:rPr>
          <w:rFonts w:ascii="Times New Roman" w:eastAsiaTheme="minorEastAsia" w:hAnsi="Times New Roman" w:cs="Times New Roman"/>
          <w:iCs/>
        </w:rPr>
        <w:t xml:space="preserve">ésta </w:t>
      </w:r>
      <w:r w:rsidR="00A4134A" w:rsidRPr="006C6424">
        <w:rPr>
          <w:rFonts w:ascii="Times New Roman" w:eastAsiaTheme="minorEastAsia" w:hAnsi="Times New Roman" w:cs="Times New Roman"/>
          <w:iCs/>
        </w:rPr>
        <w:t xml:space="preserve">tiene una relación positiva con la variable </w:t>
      </w:r>
      <w:r w:rsidR="00A4134A" w:rsidRPr="006C6424">
        <w:rPr>
          <w:rFonts w:ascii="Times New Roman" w:hAnsi="Times New Roman" w:cs="Times New Roman"/>
        </w:rPr>
        <w:t xml:space="preserve">dependiente </w:t>
      </w:r>
      <m:oMath>
        <m:r>
          <w:rPr>
            <w:rFonts w:ascii="Cambria Math" w:hAnsi="Cambria Math" w:cs="Times New Roman"/>
          </w:rPr>
          <m:t>LnP</m:t>
        </m:r>
      </m:oMath>
      <w:r w:rsidR="000A4E41" w:rsidRPr="006C6424">
        <w:rPr>
          <w:rFonts w:ascii="Times New Roman" w:eastAsiaTheme="minorEastAsia" w:hAnsi="Times New Roman" w:cs="Times New Roman"/>
          <w:iCs/>
        </w:rPr>
        <w:t xml:space="preserve">, así por cada peso de aumento del </w:t>
      </w:r>
      <m:oMath>
        <m:r>
          <w:rPr>
            <w:rFonts w:ascii="Cambria Math" w:hAnsi="Cambria Math" w:cs="Times New Roman"/>
          </w:rPr>
          <m:t>Rdo</m:t>
        </m:r>
      </m:oMath>
      <w:r w:rsidR="000A4E41" w:rsidRPr="006C6424">
        <w:rPr>
          <w:rFonts w:ascii="Times New Roman" w:eastAsiaTheme="minorEastAsia" w:hAnsi="Times New Roman" w:cs="Times New Roman"/>
          <w:iCs/>
        </w:rPr>
        <w:t xml:space="preserve"> el </w:t>
      </w:r>
      <m:oMath>
        <m:r>
          <w:rPr>
            <w:rFonts w:ascii="Cambria Math" w:hAnsi="Cambria Math" w:cs="Times New Roman"/>
          </w:rPr>
          <m:t>LnP</m:t>
        </m:r>
      </m:oMath>
      <w:r w:rsidR="000A4E41" w:rsidRPr="006C6424">
        <w:rPr>
          <w:rFonts w:ascii="Times New Roman" w:eastAsiaTheme="minorEastAsia" w:hAnsi="Times New Roman" w:cs="Times New Roman"/>
          <w:iCs/>
        </w:rPr>
        <w:t xml:space="preserve"> se incrementa un 3</w:t>
      </w:r>
      <w:r w:rsidR="002B4C6D" w:rsidRPr="006C6424">
        <w:rPr>
          <w:rFonts w:ascii="Times New Roman" w:eastAsiaTheme="minorEastAsia" w:hAnsi="Times New Roman" w:cs="Times New Roman"/>
          <w:iCs/>
        </w:rPr>
        <w:t>5</w:t>
      </w:r>
      <w:r w:rsidR="000A4E41" w:rsidRPr="006C6424">
        <w:rPr>
          <w:rFonts w:ascii="Times New Roman" w:eastAsiaTheme="minorEastAsia" w:hAnsi="Times New Roman" w:cs="Times New Roman"/>
          <w:iCs/>
        </w:rPr>
        <w:t>,</w:t>
      </w:r>
      <w:r w:rsidR="002B4C6D" w:rsidRPr="006C6424">
        <w:rPr>
          <w:rFonts w:ascii="Times New Roman" w:eastAsiaTheme="minorEastAsia" w:hAnsi="Times New Roman" w:cs="Times New Roman"/>
          <w:iCs/>
        </w:rPr>
        <w:t>41</w:t>
      </w:r>
      <w:r w:rsidR="000A4E41" w:rsidRPr="006C6424">
        <w:rPr>
          <w:rFonts w:ascii="Times New Roman" w:eastAsiaTheme="minorEastAsia" w:hAnsi="Times New Roman" w:cs="Times New Roman"/>
          <w:iCs/>
        </w:rPr>
        <w:t>%</w:t>
      </w:r>
      <w:r w:rsidR="00334560" w:rsidRPr="006C6424">
        <w:rPr>
          <w:rFonts w:ascii="Times New Roman" w:eastAsiaTheme="minorEastAsia" w:hAnsi="Times New Roman" w:cs="Times New Roman"/>
          <w:iCs/>
        </w:rPr>
        <w:t xml:space="preserve">. De esta manera se corrobora la hipótesis </w:t>
      </w:r>
      <w:r w:rsidR="00334560" w:rsidRPr="006C6424">
        <w:rPr>
          <w:rFonts w:ascii="Times New Roman" w:hAnsi="Times New Roman" w:cs="Times New Roman"/>
        </w:rPr>
        <w:t>H</w:t>
      </w:r>
      <w:r w:rsidR="00334560" w:rsidRPr="006C6424">
        <w:rPr>
          <w:rFonts w:ascii="Times New Roman" w:hAnsi="Times New Roman" w:cs="Times New Roman"/>
          <w:vertAlign w:val="subscript"/>
        </w:rPr>
        <w:t xml:space="preserve">2 </w:t>
      </w:r>
      <w:r w:rsidR="00334560" w:rsidRPr="006C6424">
        <w:rPr>
          <w:rFonts w:ascii="Times New Roman" w:hAnsi="Times New Roman" w:cs="Times New Roman"/>
        </w:rPr>
        <w:t>puesto que los resultados de las entidades bancarias poseen relevancia para el valor en la etapa previa a la aplicaci</w:t>
      </w:r>
      <w:r w:rsidR="00141AD9" w:rsidRPr="006C6424">
        <w:rPr>
          <w:rFonts w:ascii="Times New Roman" w:hAnsi="Times New Roman" w:cs="Times New Roman"/>
        </w:rPr>
        <w:t>ón de las NIIF.</w:t>
      </w:r>
    </w:p>
    <w:p w14:paraId="2DE66318" w14:textId="185C7905" w:rsidR="00DD5F7D" w:rsidRPr="006C6424" w:rsidRDefault="00DD5F7D" w:rsidP="006C6424">
      <w:pPr>
        <w:spacing w:after="120" w:line="360" w:lineRule="auto"/>
        <w:jc w:val="both"/>
        <w:rPr>
          <w:rFonts w:ascii="Times New Roman" w:hAnsi="Times New Roman" w:cs="Times New Roman"/>
          <w:b/>
          <w:bCs/>
        </w:rPr>
      </w:pPr>
      <w:r w:rsidRPr="006C6424">
        <w:rPr>
          <w:rFonts w:ascii="Times New Roman" w:hAnsi="Times New Roman" w:cs="Times New Roman"/>
          <w:b/>
          <w:bCs/>
        </w:rPr>
        <w:t>Tabla IV</w:t>
      </w:r>
    </w:p>
    <w:p w14:paraId="7A74595F" w14:textId="77777777" w:rsidR="00DD5F7D" w:rsidRPr="006C6424" w:rsidRDefault="00DD5F7D" w:rsidP="006C6424">
      <w:pPr>
        <w:spacing w:after="120" w:line="360" w:lineRule="auto"/>
        <w:jc w:val="both"/>
        <w:rPr>
          <w:rFonts w:ascii="Times New Roman" w:hAnsi="Times New Roman" w:cs="Times New Roman"/>
          <w:i/>
          <w:iCs/>
        </w:rPr>
      </w:pPr>
      <w:r w:rsidRPr="006C6424">
        <w:rPr>
          <w:rFonts w:ascii="Times New Roman" w:hAnsi="Times New Roman" w:cs="Times New Roman"/>
          <w:i/>
          <w:iCs/>
        </w:rPr>
        <w:t>Resultados del modelo I</w:t>
      </w:r>
    </w:p>
    <w:tbl>
      <w:tblPr>
        <w:tblStyle w:val="Tablaconcuadrcula"/>
        <w:tblW w:w="0" w:type="auto"/>
        <w:jc w:val="center"/>
        <w:tblBorders>
          <w:bottom w:val="none" w:sz="0" w:space="0" w:color="auto"/>
        </w:tblBorders>
        <w:tblLook w:val="04A0" w:firstRow="1" w:lastRow="0" w:firstColumn="1" w:lastColumn="0" w:noHBand="0" w:noVBand="1"/>
      </w:tblPr>
      <w:tblGrid>
        <w:gridCol w:w="4579"/>
        <w:gridCol w:w="1446"/>
        <w:gridCol w:w="1173"/>
      </w:tblGrid>
      <w:tr w:rsidR="00DD5F7D" w:rsidRPr="00F95068" w14:paraId="17DE1170" w14:textId="77777777" w:rsidTr="003959C9">
        <w:trPr>
          <w:trHeight w:val="284"/>
          <w:jc w:val="center"/>
        </w:trPr>
        <w:tc>
          <w:tcPr>
            <w:tcW w:w="4579" w:type="dxa"/>
            <w:tcBorders>
              <w:top w:val="single" w:sz="4" w:space="0" w:color="auto"/>
              <w:left w:val="nil"/>
              <w:bottom w:val="single" w:sz="4" w:space="0" w:color="auto"/>
              <w:right w:val="nil"/>
            </w:tcBorders>
            <w:shd w:val="clear" w:color="auto" w:fill="D0CECE" w:themeFill="background2" w:themeFillShade="E6"/>
          </w:tcPr>
          <w:p w14:paraId="182FC34C" w14:textId="77777777" w:rsidR="00DD5F7D" w:rsidRPr="006C6424" w:rsidRDefault="00DD5F7D" w:rsidP="003959C9">
            <w:pPr>
              <w:jc w:val="center"/>
              <w:rPr>
                <w:rFonts w:ascii="Times New Roman" w:hAnsi="Times New Roman" w:cs="Times New Roman"/>
              </w:rPr>
            </w:pPr>
            <w:r w:rsidRPr="006C6424">
              <w:rPr>
                <w:rFonts w:ascii="Times New Roman" w:hAnsi="Times New Roman" w:cs="Times New Roman"/>
              </w:rPr>
              <w:t>Variables</w:t>
            </w:r>
          </w:p>
        </w:tc>
        <w:tc>
          <w:tcPr>
            <w:tcW w:w="1446" w:type="dxa"/>
            <w:tcBorders>
              <w:top w:val="single" w:sz="4" w:space="0" w:color="auto"/>
              <w:left w:val="nil"/>
              <w:bottom w:val="single" w:sz="4" w:space="0" w:color="auto"/>
              <w:right w:val="nil"/>
            </w:tcBorders>
            <w:shd w:val="clear" w:color="auto" w:fill="D0CECE" w:themeFill="background2" w:themeFillShade="E6"/>
          </w:tcPr>
          <w:p w14:paraId="7B640070" w14:textId="77777777" w:rsidR="00DD5F7D" w:rsidRPr="006C6424" w:rsidRDefault="00DD5F7D" w:rsidP="003959C9">
            <w:pPr>
              <w:jc w:val="center"/>
              <w:rPr>
                <w:rFonts w:ascii="Times New Roman" w:hAnsi="Times New Roman" w:cs="Times New Roman"/>
              </w:rPr>
            </w:pPr>
            <w:r w:rsidRPr="006C6424">
              <w:rPr>
                <w:rFonts w:ascii="Times New Roman" w:hAnsi="Times New Roman" w:cs="Times New Roman"/>
              </w:rPr>
              <w:t>Coeficientes</w:t>
            </w:r>
          </w:p>
        </w:tc>
        <w:tc>
          <w:tcPr>
            <w:tcW w:w="1173" w:type="dxa"/>
            <w:tcBorders>
              <w:top w:val="single" w:sz="4" w:space="0" w:color="auto"/>
              <w:left w:val="nil"/>
              <w:bottom w:val="single" w:sz="4" w:space="0" w:color="auto"/>
              <w:right w:val="nil"/>
            </w:tcBorders>
            <w:shd w:val="clear" w:color="auto" w:fill="D0CECE" w:themeFill="background2" w:themeFillShade="E6"/>
          </w:tcPr>
          <w:p w14:paraId="4671D3FB" w14:textId="77777777" w:rsidR="00DD5F7D" w:rsidRPr="006C6424" w:rsidRDefault="00DD5F7D" w:rsidP="003959C9">
            <w:pPr>
              <w:rPr>
                <w:rFonts w:ascii="Times New Roman" w:hAnsi="Times New Roman" w:cs="Times New Roman"/>
              </w:rPr>
            </w:pPr>
            <w:r w:rsidRPr="006C6424">
              <w:rPr>
                <w:rFonts w:ascii="Times New Roman" w:hAnsi="Times New Roman" w:cs="Times New Roman"/>
              </w:rPr>
              <w:t>p-valores</w:t>
            </w:r>
          </w:p>
        </w:tc>
      </w:tr>
      <w:tr w:rsidR="00DD5F7D" w:rsidRPr="00F95068" w14:paraId="74F1E59A" w14:textId="77777777" w:rsidTr="003959C9">
        <w:trPr>
          <w:trHeight w:val="284"/>
          <w:jc w:val="center"/>
        </w:trPr>
        <w:tc>
          <w:tcPr>
            <w:tcW w:w="4579" w:type="dxa"/>
            <w:tcBorders>
              <w:top w:val="single" w:sz="4" w:space="0" w:color="auto"/>
              <w:left w:val="nil"/>
              <w:bottom w:val="nil"/>
              <w:right w:val="nil"/>
            </w:tcBorders>
          </w:tcPr>
          <w:p w14:paraId="3D4FB394" w14:textId="77777777" w:rsidR="00DD5F7D" w:rsidRPr="006C6424" w:rsidRDefault="00DD5F7D" w:rsidP="003959C9">
            <w:pPr>
              <w:jc w:val="center"/>
              <w:rPr>
                <w:rFonts w:ascii="Times New Roman" w:hAnsi="Times New Roman" w:cs="Times New Roman"/>
              </w:rPr>
            </w:pPr>
            <m:oMathPara>
              <m:oMath>
                <m:r>
                  <w:rPr>
                    <w:rFonts w:ascii="Cambria Math" w:hAnsi="Cambria Math" w:cs="Times New Roman"/>
                  </w:rPr>
                  <m:t>PN</m:t>
                </m:r>
              </m:oMath>
            </m:oMathPara>
          </w:p>
        </w:tc>
        <w:tc>
          <w:tcPr>
            <w:tcW w:w="1446" w:type="dxa"/>
            <w:tcBorders>
              <w:top w:val="single" w:sz="4" w:space="0" w:color="auto"/>
              <w:left w:val="nil"/>
              <w:bottom w:val="nil"/>
              <w:right w:val="nil"/>
            </w:tcBorders>
          </w:tcPr>
          <w:p w14:paraId="35A90FF4" w14:textId="50770C0A" w:rsidR="00DD5F7D" w:rsidRPr="006C6424" w:rsidRDefault="00DD5F7D" w:rsidP="003959C9">
            <w:pPr>
              <w:jc w:val="center"/>
              <w:rPr>
                <w:rFonts w:ascii="Times New Roman" w:hAnsi="Times New Roman" w:cs="Times New Roman"/>
              </w:rPr>
            </w:pPr>
            <w:r w:rsidRPr="006C6424">
              <w:rPr>
                <w:rFonts w:ascii="Times New Roman" w:hAnsi="Times New Roman" w:cs="Times New Roman"/>
              </w:rPr>
              <w:t>0,03</w:t>
            </w:r>
            <w:r w:rsidR="00447697" w:rsidRPr="006C6424">
              <w:rPr>
                <w:rFonts w:ascii="Times New Roman" w:hAnsi="Times New Roman" w:cs="Times New Roman"/>
              </w:rPr>
              <w:t>28</w:t>
            </w:r>
          </w:p>
        </w:tc>
        <w:tc>
          <w:tcPr>
            <w:tcW w:w="1173" w:type="dxa"/>
            <w:tcBorders>
              <w:top w:val="single" w:sz="4" w:space="0" w:color="auto"/>
              <w:left w:val="nil"/>
              <w:bottom w:val="nil"/>
              <w:right w:val="nil"/>
            </w:tcBorders>
          </w:tcPr>
          <w:p w14:paraId="31D5DFA7" w14:textId="3AB73CD0" w:rsidR="00DD5F7D" w:rsidRPr="006C6424" w:rsidRDefault="00DD5F7D" w:rsidP="003959C9">
            <w:pPr>
              <w:jc w:val="center"/>
              <w:rPr>
                <w:rFonts w:ascii="Times New Roman" w:hAnsi="Times New Roman" w:cs="Times New Roman"/>
              </w:rPr>
            </w:pPr>
            <w:r w:rsidRPr="006C6424">
              <w:rPr>
                <w:rFonts w:ascii="Times New Roman" w:hAnsi="Times New Roman" w:cs="Times New Roman"/>
              </w:rPr>
              <w:t>0,</w:t>
            </w:r>
            <w:r w:rsidR="00447697" w:rsidRPr="006C6424">
              <w:rPr>
                <w:rFonts w:ascii="Times New Roman" w:hAnsi="Times New Roman" w:cs="Times New Roman"/>
              </w:rPr>
              <w:t>2330</w:t>
            </w:r>
          </w:p>
        </w:tc>
      </w:tr>
      <w:tr w:rsidR="00DD5F7D" w:rsidRPr="00F95068" w14:paraId="63BF9BD0" w14:textId="77777777" w:rsidTr="003959C9">
        <w:trPr>
          <w:trHeight w:val="284"/>
          <w:jc w:val="center"/>
        </w:trPr>
        <w:tc>
          <w:tcPr>
            <w:tcW w:w="4579" w:type="dxa"/>
            <w:tcBorders>
              <w:top w:val="nil"/>
              <w:left w:val="nil"/>
              <w:bottom w:val="nil"/>
              <w:right w:val="nil"/>
            </w:tcBorders>
          </w:tcPr>
          <w:p w14:paraId="7F024046" w14:textId="77777777" w:rsidR="00DD5F7D" w:rsidRPr="006C6424" w:rsidRDefault="00DD5F7D" w:rsidP="003959C9">
            <w:pPr>
              <w:jc w:val="center"/>
              <w:rPr>
                <w:rFonts w:ascii="Times New Roman" w:hAnsi="Times New Roman" w:cs="Times New Roman"/>
              </w:rPr>
            </w:pPr>
            <m:oMathPara>
              <m:oMath>
                <m:r>
                  <w:rPr>
                    <w:rFonts w:ascii="Cambria Math" w:hAnsi="Cambria Math" w:cs="Times New Roman"/>
                  </w:rPr>
                  <m:t>Rdo</m:t>
                </m:r>
              </m:oMath>
            </m:oMathPara>
          </w:p>
        </w:tc>
        <w:tc>
          <w:tcPr>
            <w:tcW w:w="1446" w:type="dxa"/>
            <w:tcBorders>
              <w:top w:val="nil"/>
              <w:left w:val="nil"/>
              <w:bottom w:val="nil"/>
              <w:right w:val="nil"/>
            </w:tcBorders>
          </w:tcPr>
          <w:p w14:paraId="1468BD09" w14:textId="67AE35F9" w:rsidR="00DD5F7D" w:rsidRPr="006C6424" w:rsidRDefault="00DD5F7D" w:rsidP="00DD5F7D">
            <w:pPr>
              <w:jc w:val="center"/>
              <w:rPr>
                <w:rFonts w:ascii="Times New Roman" w:hAnsi="Times New Roman" w:cs="Times New Roman"/>
              </w:rPr>
            </w:pPr>
            <w:r w:rsidRPr="006C6424">
              <w:rPr>
                <w:rFonts w:ascii="Times New Roman" w:hAnsi="Times New Roman" w:cs="Times New Roman"/>
              </w:rPr>
              <w:t>0,3</w:t>
            </w:r>
            <w:r w:rsidR="00447697" w:rsidRPr="006C6424">
              <w:rPr>
                <w:rFonts w:ascii="Times New Roman" w:hAnsi="Times New Roman" w:cs="Times New Roman"/>
              </w:rPr>
              <w:t>541</w:t>
            </w:r>
          </w:p>
        </w:tc>
        <w:tc>
          <w:tcPr>
            <w:tcW w:w="1173" w:type="dxa"/>
            <w:tcBorders>
              <w:top w:val="nil"/>
              <w:left w:val="nil"/>
              <w:bottom w:val="nil"/>
              <w:right w:val="nil"/>
            </w:tcBorders>
          </w:tcPr>
          <w:p w14:paraId="1128C2A3" w14:textId="4F68C1F7" w:rsidR="00DD5F7D" w:rsidRPr="006C6424" w:rsidRDefault="00DD5F7D" w:rsidP="003959C9">
            <w:pPr>
              <w:jc w:val="center"/>
              <w:rPr>
                <w:rFonts w:ascii="Times New Roman" w:hAnsi="Times New Roman" w:cs="Times New Roman"/>
              </w:rPr>
            </w:pPr>
            <w:r w:rsidRPr="006C6424">
              <w:rPr>
                <w:rFonts w:ascii="Times New Roman" w:hAnsi="Times New Roman" w:cs="Times New Roman"/>
              </w:rPr>
              <w:t>0,00</w:t>
            </w:r>
            <w:r w:rsidR="00447697" w:rsidRPr="006C6424">
              <w:rPr>
                <w:rFonts w:ascii="Times New Roman" w:hAnsi="Times New Roman" w:cs="Times New Roman"/>
              </w:rPr>
              <w:t>10</w:t>
            </w:r>
          </w:p>
        </w:tc>
      </w:tr>
      <w:tr w:rsidR="00DD5F7D" w:rsidRPr="00F95068" w14:paraId="28458C63" w14:textId="77777777" w:rsidTr="003959C9">
        <w:trPr>
          <w:trHeight w:val="284"/>
          <w:jc w:val="center"/>
        </w:trPr>
        <w:tc>
          <w:tcPr>
            <w:tcW w:w="4579" w:type="dxa"/>
            <w:tcBorders>
              <w:top w:val="single" w:sz="4" w:space="0" w:color="auto"/>
              <w:left w:val="nil"/>
              <w:bottom w:val="nil"/>
              <w:right w:val="nil"/>
            </w:tcBorders>
          </w:tcPr>
          <w:p w14:paraId="6BE20CF8" w14:textId="77777777" w:rsidR="00DD5F7D" w:rsidRPr="006C6424" w:rsidRDefault="00DD5F7D" w:rsidP="003959C9">
            <w:pPr>
              <w:jc w:val="center"/>
              <w:rPr>
                <w:rFonts w:ascii="Times New Roman" w:hAnsi="Times New Roman" w:cs="Times New Roman"/>
              </w:rPr>
            </w:pPr>
            <w:r w:rsidRPr="006C6424">
              <w:rPr>
                <w:rFonts w:ascii="Times New Roman" w:hAnsi="Times New Roman" w:cs="Times New Roman"/>
              </w:rPr>
              <w:t>N.º de observaciones</w:t>
            </w:r>
          </w:p>
        </w:tc>
        <w:tc>
          <w:tcPr>
            <w:tcW w:w="1446" w:type="dxa"/>
            <w:tcBorders>
              <w:top w:val="single" w:sz="4" w:space="0" w:color="auto"/>
              <w:left w:val="nil"/>
              <w:bottom w:val="nil"/>
              <w:right w:val="nil"/>
            </w:tcBorders>
          </w:tcPr>
          <w:p w14:paraId="5A18730A" w14:textId="0F4D33FE" w:rsidR="00DD5F7D" w:rsidRPr="006C6424" w:rsidRDefault="00DD5F7D" w:rsidP="003959C9">
            <w:pPr>
              <w:jc w:val="center"/>
              <w:rPr>
                <w:rFonts w:ascii="Times New Roman" w:hAnsi="Times New Roman" w:cs="Times New Roman"/>
              </w:rPr>
            </w:pPr>
            <w:r w:rsidRPr="006C6424">
              <w:rPr>
                <w:rFonts w:ascii="Times New Roman" w:hAnsi="Times New Roman" w:cs="Times New Roman"/>
              </w:rPr>
              <w:t>81</w:t>
            </w:r>
          </w:p>
        </w:tc>
        <w:tc>
          <w:tcPr>
            <w:tcW w:w="1173" w:type="dxa"/>
            <w:tcBorders>
              <w:top w:val="single" w:sz="4" w:space="0" w:color="auto"/>
              <w:left w:val="nil"/>
              <w:bottom w:val="nil"/>
              <w:right w:val="nil"/>
            </w:tcBorders>
          </w:tcPr>
          <w:p w14:paraId="770224AA" w14:textId="77777777" w:rsidR="00DD5F7D" w:rsidRPr="006C6424" w:rsidRDefault="00DD5F7D" w:rsidP="003959C9">
            <w:pPr>
              <w:jc w:val="center"/>
              <w:rPr>
                <w:rFonts w:ascii="Times New Roman" w:hAnsi="Times New Roman" w:cs="Times New Roman"/>
              </w:rPr>
            </w:pPr>
          </w:p>
        </w:tc>
      </w:tr>
      <w:tr w:rsidR="00DD5F7D" w:rsidRPr="00F95068" w14:paraId="42622444" w14:textId="77777777" w:rsidTr="003959C9">
        <w:trPr>
          <w:trHeight w:val="284"/>
          <w:jc w:val="center"/>
        </w:trPr>
        <w:tc>
          <w:tcPr>
            <w:tcW w:w="4579" w:type="dxa"/>
            <w:tcBorders>
              <w:top w:val="nil"/>
              <w:left w:val="nil"/>
              <w:bottom w:val="nil"/>
              <w:right w:val="nil"/>
            </w:tcBorders>
          </w:tcPr>
          <w:p w14:paraId="0F278AE8" w14:textId="77777777" w:rsidR="00DD5F7D" w:rsidRPr="006C6424" w:rsidRDefault="00DD5F7D" w:rsidP="003959C9">
            <w:pPr>
              <w:jc w:val="center"/>
              <w:rPr>
                <w:rFonts w:ascii="Times New Roman" w:hAnsi="Times New Roman" w:cs="Times New Roman"/>
              </w:rPr>
            </w:pPr>
            <w:r w:rsidRPr="006C6424">
              <w:rPr>
                <w:rFonts w:ascii="Times New Roman" w:hAnsi="Times New Roman" w:cs="Times New Roman"/>
              </w:rPr>
              <w:t>N.º de empresas</w:t>
            </w:r>
          </w:p>
        </w:tc>
        <w:tc>
          <w:tcPr>
            <w:tcW w:w="1446" w:type="dxa"/>
            <w:tcBorders>
              <w:top w:val="nil"/>
              <w:left w:val="nil"/>
              <w:bottom w:val="nil"/>
              <w:right w:val="nil"/>
            </w:tcBorders>
          </w:tcPr>
          <w:p w14:paraId="7B08B10E" w14:textId="43F0D4DD" w:rsidR="00DD5F7D" w:rsidRPr="006C6424" w:rsidRDefault="00DD5F7D" w:rsidP="003959C9">
            <w:pPr>
              <w:jc w:val="center"/>
              <w:rPr>
                <w:rFonts w:ascii="Times New Roman" w:hAnsi="Times New Roman" w:cs="Times New Roman"/>
              </w:rPr>
            </w:pPr>
            <w:r w:rsidRPr="006C6424">
              <w:rPr>
                <w:rFonts w:ascii="Times New Roman" w:hAnsi="Times New Roman" w:cs="Times New Roman"/>
              </w:rPr>
              <w:t>7</w:t>
            </w:r>
          </w:p>
        </w:tc>
        <w:tc>
          <w:tcPr>
            <w:tcW w:w="1173" w:type="dxa"/>
            <w:tcBorders>
              <w:top w:val="nil"/>
              <w:left w:val="nil"/>
              <w:bottom w:val="nil"/>
              <w:right w:val="nil"/>
            </w:tcBorders>
          </w:tcPr>
          <w:p w14:paraId="177D70EE" w14:textId="77777777" w:rsidR="00DD5F7D" w:rsidRPr="006C6424" w:rsidRDefault="00DD5F7D" w:rsidP="003959C9">
            <w:pPr>
              <w:jc w:val="center"/>
              <w:rPr>
                <w:rFonts w:ascii="Times New Roman" w:hAnsi="Times New Roman" w:cs="Times New Roman"/>
              </w:rPr>
            </w:pPr>
          </w:p>
        </w:tc>
      </w:tr>
      <w:tr w:rsidR="00DD5F7D" w:rsidRPr="00F95068" w14:paraId="3337F399" w14:textId="77777777" w:rsidTr="003959C9">
        <w:trPr>
          <w:trHeight w:val="284"/>
          <w:jc w:val="center"/>
        </w:trPr>
        <w:tc>
          <w:tcPr>
            <w:tcW w:w="4579" w:type="dxa"/>
            <w:tcBorders>
              <w:top w:val="nil"/>
              <w:left w:val="nil"/>
              <w:bottom w:val="nil"/>
              <w:right w:val="nil"/>
            </w:tcBorders>
          </w:tcPr>
          <w:p w14:paraId="4A161B52" w14:textId="1DEBE016" w:rsidR="00DD5F7D" w:rsidRPr="006C6424" w:rsidRDefault="00DD5F7D" w:rsidP="003959C9">
            <w:pPr>
              <w:jc w:val="center"/>
              <w:rPr>
                <w:rFonts w:ascii="Times New Roman" w:hAnsi="Times New Roman" w:cs="Times New Roman"/>
              </w:rPr>
            </w:pPr>
            <w:r w:rsidRPr="006C6424">
              <w:rPr>
                <w:rFonts w:ascii="Times New Roman" w:hAnsi="Times New Roman" w:cs="Times New Roman"/>
              </w:rPr>
              <w:t>R</w:t>
            </w:r>
            <w:r w:rsidRPr="006C6424">
              <w:rPr>
                <w:rFonts w:ascii="Times New Roman" w:hAnsi="Times New Roman" w:cs="Times New Roman"/>
                <w:vertAlign w:val="superscript"/>
              </w:rPr>
              <w:t xml:space="preserve">2 </w:t>
            </w:r>
            <w:r w:rsidR="00AA3D14" w:rsidRPr="006C6424">
              <w:rPr>
                <w:rFonts w:ascii="Times New Roman" w:hAnsi="Times New Roman" w:cs="Times New Roman"/>
                <w:vertAlign w:val="superscript"/>
              </w:rPr>
              <w:t xml:space="preserve"> </w:t>
            </w:r>
            <w:r w:rsidR="00AA3D14" w:rsidRPr="006C6424">
              <w:rPr>
                <w:rFonts w:ascii="Times New Roman" w:hAnsi="Times New Roman" w:cs="Times New Roman"/>
              </w:rPr>
              <w:t>within</w:t>
            </w:r>
          </w:p>
        </w:tc>
        <w:tc>
          <w:tcPr>
            <w:tcW w:w="1446" w:type="dxa"/>
            <w:tcBorders>
              <w:top w:val="nil"/>
              <w:left w:val="nil"/>
              <w:bottom w:val="nil"/>
              <w:right w:val="nil"/>
            </w:tcBorders>
          </w:tcPr>
          <w:p w14:paraId="4D22F1BA" w14:textId="3D116B26" w:rsidR="00DD5F7D" w:rsidRPr="006C6424" w:rsidRDefault="00DD5F7D" w:rsidP="003959C9">
            <w:pPr>
              <w:jc w:val="center"/>
              <w:rPr>
                <w:rFonts w:ascii="Times New Roman" w:hAnsi="Times New Roman" w:cs="Times New Roman"/>
              </w:rPr>
            </w:pPr>
            <w:r w:rsidRPr="006C6424">
              <w:rPr>
                <w:rFonts w:ascii="Times New Roman" w:hAnsi="Times New Roman" w:cs="Times New Roman"/>
              </w:rPr>
              <w:t>0,</w:t>
            </w:r>
            <w:r w:rsidR="00AA3D14" w:rsidRPr="006C6424">
              <w:rPr>
                <w:rFonts w:ascii="Times New Roman" w:hAnsi="Times New Roman" w:cs="Times New Roman"/>
              </w:rPr>
              <w:t>6959</w:t>
            </w:r>
          </w:p>
        </w:tc>
        <w:tc>
          <w:tcPr>
            <w:tcW w:w="1173" w:type="dxa"/>
            <w:tcBorders>
              <w:top w:val="nil"/>
              <w:left w:val="nil"/>
              <w:bottom w:val="nil"/>
              <w:right w:val="nil"/>
            </w:tcBorders>
          </w:tcPr>
          <w:p w14:paraId="50A05DB6" w14:textId="77777777" w:rsidR="00DD5F7D" w:rsidRPr="006C6424" w:rsidRDefault="00DD5F7D" w:rsidP="003959C9">
            <w:pPr>
              <w:jc w:val="center"/>
              <w:rPr>
                <w:rFonts w:ascii="Times New Roman" w:hAnsi="Times New Roman" w:cs="Times New Roman"/>
              </w:rPr>
            </w:pPr>
          </w:p>
        </w:tc>
      </w:tr>
      <w:tr w:rsidR="00DD5F7D" w:rsidRPr="00F95068" w14:paraId="225B6E1B" w14:textId="77777777" w:rsidTr="003959C9">
        <w:trPr>
          <w:trHeight w:val="284"/>
          <w:jc w:val="center"/>
        </w:trPr>
        <w:tc>
          <w:tcPr>
            <w:tcW w:w="4579" w:type="dxa"/>
            <w:tcBorders>
              <w:top w:val="nil"/>
              <w:left w:val="nil"/>
              <w:bottom w:val="single" w:sz="4" w:space="0" w:color="auto"/>
              <w:right w:val="nil"/>
            </w:tcBorders>
          </w:tcPr>
          <w:p w14:paraId="169112B7" w14:textId="77777777" w:rsidR="00DD5F7D" w:rsidRPr="00262B2F" w:rsidRDefault="00DD5F7D" w:rsidP="003959C9">
            <w:pPr>
              <w:jc w:val="center"/>
              <w:rPr>
                <w:rFonts w:ascii="Times New Roman" w:hAnsi="Times New Roman" w:cs="Times New Roman"/>
              </w:rPr>
            </w:pPr>
            <w:r w:rsidRPr="00262B2F">
              <w:rPr>
                <w:rFonts w:ascii="Times New Roman" w:hAnsi="Times New Roman" w:cs="Times New Roman"/>
              </w:rPr>
              <w:t>Nivel de significatividad</w:t>
            </w:r>
          </w:p>
        </w:tc>
        <w:tc>
          <w:tcPr>
            <w:tcW w:w="1446" w:type="dxa"/>
            <w:tcBorders>
              <w:top w:val="nil"/>
              <w:left w:val="nil"/>
              <w:bottom w:val="single" w:sz="4" w:space="0" w:color="auto"/>
              <w:right w:val="nil"/>
            </w:tcBorders>
          </w:tcPr>
          <w:p w14:paraId="2E0B881E" w14:textId="77777777" w:rsidR="00DD5F7D" w:rsidRPr="00262B2F" w:rsidRDefault="00DD5F7D" w:rsidP="003959C9">
            <w:pPr>
              <w:jc w:val="center"/>
              <w:rPr>
                <w:rFonts w:ascii="Times New Roman" w:hAnsi="Times New Roman" w:cs="Times New Roman"/>
                <w:i/>
                <w:iCs/>
              </w:rPr>
            </w:pPr>
            <w:r w:rsidRPr="00262B2F">
              <w:rPr>
                <w:rFonts w:ascii="Times New Roman" w:hAnsi="Times New Roman" w:cs="Times New Roman"/>
                <w:i/>
                <w:iCs/>
              </w:rPr>
              <w:t>0,05</w:t>
            </w:r>
          </w:p>
        </w:tc>
        <w:tc>
          <w:tcPr>
            <w:tcW w:w="1173" w:type="dxa"/>
            <w:tcBorders>
              <w:top w:val="nil"/>
              <w:left w:val="nil"/>
              <w:bottom w:val="single" w:sz="4" w:space="0" w:color="auto"/>
              <w:right w:val="nil"/>
            </w:tcBorders>
          </w:tcPr>
          <w:p w14:paraId="0B71A88A" w14:textId="77777777" w:rsidR="00DD5F7D" w:rsidRPr="006C6424" w:rsidRDefault="00DD5F7D" w:rsidP="003959C9">
            <w:pPr>
              <w:jc w:val="center"/>
              <w:rPr>
                <w:rFonts w:ascii="Times New Roman" w:hAnsi="Times New Roman" w:cs="Times New Roman"/>
              </w:rPr>
            </w:pPr>
          </w:p>
        </w:tc>
      </w:tr>
    </w:tbl>
    <w:p w14:paraId="4ECB3A16" w14:textId="77777777" w:rsidR="00CD1C25" w:rsidRDefault="00CD1C25" w:rsidP="00CD1C25">
      <w:pPr>
        <w:spacing w:line="360" w:lineRule="auto"/>
        <w:jc w:val="both"/>
        <w:rPr>
          <w:rFonts w:ascii="Times New Roman" w:hAnsi="Times New Roman" w:cs="Times New Roman"/>
        </w:rPr>
      </w:pPr>
    </w:p>
    <w:p w14:paraId="1DF72DC9" w14:textId="1D6DB727" w:rsidR="00CD1C25" w:rsidRPr="00CD1C25" w:rsidRDefault="00CD1C25" w:rsidP="00CD1C25">
      <w:pPr>
        <w:spacing w:line="360" w:lineRule="auto"/>
        <w:jc w:val="both"/>
        <w:rPr>
          <w:rFonts w:ascii="Times New Roman" w:eastAsiaTheme="minorEastAsia" w:hAnsi="Times New Roman" w:cs="Times New Roman"/>
          <w:iCs/>
        </w:rPr>
      </w:pPr>
      <w:r w:rsidRPr="006C6424">
        <w:rPr>
          <w:rFonts w:ascii="Times New Roman" w:hAnsi="Times New Roman" w:cs="Times New Roman"/>
        </w:rPr>
        <w:t xml:space="preserve">Por lo expuesto, se concluye que la información financiera referida a los resultados de las entidades bancarias que cotizan en Argentina durante el </w:t>
      </w:r>
      <w:r>
        <w:rPr>
          <w:rFonts w:ascii="Times New Roman" w:hAnsi="Times New Roman" w:cs="Times New Roman"/>
        </w:rPr>
        <w:t xml:space="preserve">período previo a la adopción de las NIIF </w:t>
      </w:r>
      <w:r w:rsidRPr="006C6424">
        <w:rPr>
          <w:rFonts w:ascii="Times New Roman" w:hAnsi="Times New Roman" w:cs="Times New Roman"/>
        </w:rPr>
        <w:t>es de calidad puesto que posee relevancia para el valor</w:t>
      </w:r>
      <w:r>
        <w:rPr>
          <w:rFonts w:ascii="Times New Roman" w:hAnsi="Times New Roman" w:cs="Times New Roman"/>
        </w:rPr>
        <w:t xml:space="preserve"> y por lo tanto es útil para la toma de decisiones de los inversores.</w:t>
      </w:r>
    </w:p>
    <w:p w14:paraId="69D3EB20" w14:textId="2DD6B744" w:rsidR="00961632" w:rsidRPr="006C6424" w:rsidRDefault="008D716B" w:rsidP="00CD1C25">
      <w:pPr>
        <w:spacing w:line="360" w:lineRule="auto"/>
        <w:jc w:val="both"/>
        <w:rPr>
          <w:rFonts w:ascii="Times New Roman" w:hAnsi="Times New Roman" w:cs="Times New Roman"/>
        </w:rPr>
      </w:pPr>
      <w:r w:rsidRPr="00CD1C25">
        <w:rPr>
          <w:rFonts w:ascii="Times New Roman" w:hAnsi="Times New Roman" w:cs="Times New Roman"/>
        </w:rPr>
        <w:t>Los resultados de</w:t>
      </w:r>
      <w:r w:rsidR="00F16EDB" w:rsidRPr="00CD1C25">
        <w:rPr>
          <w:rFonts w:ascii="Times New Roman" w:hAnsi="Times New Roman" w:cs="Times New Roman"/>
        </w:rPr>
        <w:t xml:space="preserve"> este estudio son </w:t>
      </w:r>
      <w:r w:rsidR="00494D69" w:rsidRPr="00CD1C25">
        <w:rPr>
          <w:rFonts w:ascii="Times New Roman" w:hAnsi="Times New Roman" w:cs="Times New Roman"/>
        </w:rPr>
        <w:t xml:space="preserve">corroborados por </w:t>
      </w:r>
      <w:r w:rsidR="00494D69" w:rsidRPr="006C6424">
        <w:rPr>
          <w:rFonts w:ascii="Times New Roman" w:hAnsi="Times New Roman" w:cs="Times New Roman"/>
        </w:rPr>
        <w:t>Agostino</w:t>
      </w:r>
      <w:r w:rsidR="004F4257" w:rsidRPr="006C6424">
        <w:rPr>
          <w:rFonts w:ascii="Times New Roman" w:hAnsi="Times New Roman" w:cs="Times New Roman"/>
        </w:rPr>
        <w:t xml:space="preserve"> et al.</w:t>
      </w:r>
      <w:r w:rsidR="00494D69" w:rsidRPr="006C6424">
        <w:rPr>
          <w:rFonts w:ascii="Times New Roman" w:hAnsi="Times New Roman" w:cs="Times New Roman"/>
        </w:rPr>
        <w:t xml:space="preserve"> </w:t>
      </w:r>
      <w:sdt>
        <w:sdtPr>
          <w:rPr>
            <w:rFonts w:ascii="Times New Roman" w:hAnsi="Times New Roman" w:cs="Times New Roman"/>
          </w:rPr>
          <w:id w:val="-2112272527"/>
          <w:citation/>
        </w:sdtPr>
        <w:sdtContent>
          <w:r w:rsidR="00494D69" w:rsidRPr="006C6424">
            <w:rPr>
              <w:rFonts w:ascii="Times New Roman" w:hAnsi="Times New Roman" w:cs="Times New Roman"/>
            </w:rPr>
            <w:fldChar w:fldCharType="begin"/>
          </w:r>
          <w:r w:rsidR="00494D69" w:rsidRPr="006C6424">
            <w:rPr>
              <w:rFonts w:ascii="Times New Roman" w:hAnsi="Times New Roman" w:cs="Times New Roman"/>
            </w:rPr>
            <w:instrText xml:space="preserve">CITATION Ago11 \n  \t  \l 11274 </w:instrText>
          </w:r>
          <w:r w:rsidR="00494D69" w:rsidRPr="006C6424">
            <w:rPr>
              <w:rFonts w:ascii="Times New Roman" w:hAnsi="Times New Roman" w:cs="Times New Roman"/>
            </w:rPr>
            <w:fldChar w:fldCharType="separate"/>
          </w:r>
          <w:r w:rsidR="00505AD5" w:rsidRPr="006C6424">
            <w:rPr>
              <w:rFonts w:ascii="Times New Roman" w:hAnsi="Times New Roman" w:cs="Times New Roman"/>
            </w:rPr>
            <w:t>(2011)</w:t>
          </w:r>
          <w:r w:rsidR="00494D69" w:rsidRPr="006C6424">
            <w:rPr>
              <w:rFonts w:ascii="Times New Roman" w:hAnsi="Times New Roman" w:cs="Times New Roman"/>
            </w:rPr>
            <w:fldChar w:fldCharType="end"/>
          </w:r>
        </w:sdtContent>
      </w:sdt>
      <w:r w:rsidR="00494D69" w:rsidRPr="00CD1C25">
        <w:rPr>
          <w:rFonts w:ascii="Times New Roman" w:hAnsi="Times New Roman" w:cs="Times New Roman"/>
        </w:rPr>
        <w:t xml:space="preserve"> </w:t>
      </w:r>
      <w:r w:rsidR="00DE6674" w:rsidRPr="006C6424">
        <w:rPr>
          <w:rFonts w:ascii="Times New Roman" w:hAnsi="Times New Roman" w:cs="Times New Roman"/>
        </w:rPr>
        <w:t>para l</w:t>
      </w:r>
      <w:r w:rsidR="00494D69" w:rsidRPr="006C6424">
        <w:rPr>
          <w:rFonts w:ascii="Times New Roman" w:hAnsi="Times New Roman" w:cs="Times New Roman"/>
        </w:rPr>
        <w:t>a industria bancaria europea</w:t>
      </w:r>
      <w:r w:rsidR="00DE6674" w:rsidRPr="006C6424">
        <w:rPr>
          <w:rFonts w:ascii="Times New Roman" w:hAnsi="Times New Roman" w:cs="Times New Roman"/>
        </w:rPr>
        <w:t>,</w:t>
      </w:r>
      <w:r w:rsidR="00727588" w:rsidRPr="006C6424">
        <w:rPr>
          <w:rFonts w:ascii="Times New Roman" w:hAnsi="Times New Roman" w:cs="Times New Roman"/>
        </w:rPr>
        <w:t xml:space="preserve"> puesto que concluyen que </w:t>
      </w:r>
      <w:r w:rsidR="00494D69" w:rsidRPr="006C6424">
        <w:rPr>
          <w:rFonts w:ascii="Times New Roman" w:hAnsi="Times New Roman" w:cs="Times New Roman"/>
        </w:rPr>
        <w:t>el valor en libros del patrimonio no es significativo en el período previo a adopción de las NIIF</w:t>
      </w:r>
      <w:r w:rsidR="00CD1C25">
        <w:rPr>
          <w:rFonts w:ascii="Times New Roman" w:hAnsi="Times New Roman" w:cs="Times New Roman"/>
        </w:rPr>
        <w:t xml:space="preserve">, sin embargo, </w:t>
      </w:r>
      <w:r w:rsidR="00494D69" w:rsidRPr="006C6424">
        <w:rPr>
          <w:rFonts w:ascii="Times New Roman" w:hAnsi="Times New Roman" w:cs="Times New Roman"/>
        </w:rPr>
        <w:t>las ganancias son consideradas por los inversores en su modelo decisorio</w:t>
      </w:r>
      <w:r w:rsidR="00CD1C25">
        <w:rPr>
          <w:rFonts w:ascii="Times New Roman" w:hAnsi="Times New Roman" w:cs="Times New Roman"/>
        </w:rPr>
        <w:t xml:space="preserve"> en esta etapa.</w:t>
      </w:r>
    </w:p>
    <w:p w14:paraId="2507EAE0" w14:textId="0F3F6387" w:rsidR="000F60F1" w:rsidRPr="006C6424" w:rsidRDefault="00CD1C25" w:rsidP="000C1E34">
      <w:pPr>
        <w:pBdr>
          <w:top w:val="nil"/>
          <w:left w:val="nil"/>
          <w:bottom w:val="nil"/>
          <w:right w:val="nil"/>
          <w:between w:val="nil"/>
        </w:pBdr>
        <w:spacing w:before="100" w:beforeAutospacing="1" w:after="100" w:afterAutospacing="1" w:line="360" w:lineRule="auto"/>
        <w:jc w:val="both"/>
        <w:rPr>
          <w:rFonts w:ascii="Times New Roman" w:hAnsi="Times New Roman" w:cs="Times New Roman"/>
        </w:rPr>
      </w:pPr>
      <w:r>
        <w:rPr>
          <w:rFonts w:ascii="Times New Roman" w:hAnsi="Times New Roman" w:cs="Times New Roman"/>
        </w:rPr>
        <w:t>También arriban a conclusiones en el mismo sentido</w:t>
      </w:r>
      <w:r w:rsidRPr="006E644A">
        <w:rPr>
          <w:rFonts w:ascii="Times New Roman" w:hAnsi="Times New Roman" w:cs="Times New Roman"/>
        </w:rPr>
        <w:t xml:space="preserve"> T</w:t>
      </w:r>
      <w:r w:rsidRPr="006C6424">
        <w:rPr>
          <w:rFonts w:ascii="Times New Roman" w:hAnsi="Times New Roman" w:cs="Times New Roman"/>
        </w:rPr>
        <w:t xml:space="preserve">rabelsi, N. &amp; Trabelsi, M. </w:t>
      </w:r>
      <w:sdt>
        <w:sdtPr>
          <w:rPr>
            <w:rFonts w:ascii="Times New Roman" w:hAnsi="Times New Roman" w:cs="Times New Roman"/>
          </w:rPr>
          <w:id w:val="-155537627"/>
          <w:citation/>
        </w:sdtPr>
        <w:sdtContent>
          <w:r w:rsidRPr="006C6424">
            <w:rPr>
              <w:rFonts w:ascii="Times New Roman" w:hAnsi="Times New Roman" w:cs="Times New Roman"/>
            </w:rPr>
            <w:fldChar w:fldCharType="begin"/>
          </w:r>
          <w:r w:rsidRPr="006C6424">
            <w:rPr>
              <w:rFonts w:ascii="Times New Roman" w:hAnsi="Times New Roman" w:cs="Times New Roman"/>
            </w:rPr>
            <w:instrText xml:space="preserve">CITATION Tra14 \n  \t  \l 11274 </w:instrText>
          </w:r>
          <w:r w:rsidRPr="006C6424">
            <w:rPr>
              <w:rFonts w:ascii="Times New Roman" w:hAnsi="Times New Roman" w:cs="Times New Roman"/>
            </w:rPr>
            <w:fldChar w:fldCharType="separate"/>
          </w:r>
          <w:r w:rsidRPr="006C6424">
            <w:rPr>
              <w:rFonts w:ascii="Times New Roman" w:hAnsi="Times New Roman" w:cs="Times New Roman"/>
              <w:noProof/>
            </w:rPr>
            <w:t>(2014)</w:t>
          </w:r>
          <w:r w:rsidRPr="006C6424">
            <w:rPr>
              <w:rFonts w:ascii="Times New Roman" w:hAnsi="Times New Roman" w:cs="Times New Roman"/>
            </w:rPr>
            <w:fldChar w:fldCharType="end"/>
          </w:r>
        </w:sdtContent>
      </w:sdt>
      <w:r w:rsidRPr="006C6424">
        <w:rPr>
          <w:rFonts w:ascii="Times New Roman" w:hAnsi="Times New Roman" w:cs="Times New Roman"/>
        </w:rPr>
        <w:t xml:space="preserve"> </w:t>
      </w:r>
      <w:r w:rsidR="007F22A3" w:rsidRPr="006C6424">
        <w:rPr>
          <w:rFonts w:ascii="Times New Roman" w:hAnsi="Times New Roman" w:cs="Times New Roman"/>
        </w:rPr>
        <w:t>para los bancos que cotizan en el Mercado Financiero de Dubai</w:t>
      </w:r>
      <w:r>
        <w:rPr>
          <w:rFonts w:ascii="Times New Roman" w:hAnsi="Times New Roman" w:cs="Times New Roman"/>
        </w:rPr>
        <w:t>.</w:t>
      </w:r>
      <w:r w:rsidR="007F22A3" w:rsidRPr="006E644A">
        <w:rPr>
          <w:rFonts w:ascii="Times New Roman" w:hAnsi="Times New Roman" w:cs="Times New Roman"/>
        </w:rPr>
        <w:t xml:space="preserve"> </w:t>
      </w:r>
      <w:r>
        <w:rPr>
          <w:rFonts w:ascii="Times New Roman" w:hAnsi="Times New Roman" w:cs="Times New Roman"/>
        </w:rPr>
        <w:t xml:space="preserve">Su estudio evidenció </w:t>
      </w:r>
      <w:r w:rsidR="00961632" w:rsidRPr="006C6424">
        <w:rPr>
          <w:rFonts w:ascii="Times New Roman" w:hAnsi="Times New Roman" w:cs="Times New Roman"/>
        </w:rPr>
        <w:t xml:space="preserve">que las </w:t>
      </w:r>
      <w:r w:rsidR="00F32278" w:rsidRPr="006C6424">
        <w:rPr>
          <w:rFonts w:ascii="Times New Roman" w:hAnsi="Times New Roman" w:cs="Times New Roman"/>
        </w:rPr>
        <w:t>ganancias están relacionadas positivamente con los precios de las acciones</w:t>
      </w:r>
      <w:r w:rsidR="007459E9">
        <w:rPr>
          <w:rFonts w:ascii="Times New Roman" w:hAnsi="Times New Roman" w:cs="Times New Roman"/>
        </w:rPr>
        <w:t>,</w:t>
      </w:r>
      <w:r w:rsidR="00F32278" w:rsidRPr="006C6424">
        <w:rPr>
          <w:rFonts w:ascii="Times New Roman" w:hAnsi="Times New Roman" w:cs="Times New Roman"/>
        </w:rPr>
        <w:t xml:space="preserve"> pero el valor de libros de</w:t>
      </w:r>
      <w:r w:rsidR="00EC6020" w:rsidRPr="006C6424">
        <w:rPr>
          <w:rFonts w:ascii="Times New Roman" w:hAnsi="Times New Roman" w:cs="Times New Roman"/>
        </w:rPr>
        <w:t>l capital</w:t>
      </w:r>
      <w:r w:rsidR="00F32278" w:rsidRPr="006C6424">
        <w:rPr>
          <w:rFonts w:ascii="Times New Roman" w:hAnsi="Times New Roman" w:cs="Times New Roman"/>
        </w:rPr>
        <w:t xml:space="preserve"> por sí solo no posee relevancia para el valor en la etapa de empleo de normativa local.</w:t>
      </w:r>
    </w:p>
    <w:p w14:paraId="219597A5" w14:textId="5C994E53" w:rsidR="0026551E" w:rsidRDefault="0026551E" w:rsidP="0026551E">
      <w:pPr>
        <w:spacing w:line="360" w:lineRule="auto"/>
        <w:jc w:val="both"/>
        <w:rPr>
          <w:rFonts w:ascii="Times New Roman" w:hAnsi="Times New Roman" w:cs="Times New Roman"/>
          <w:u w:val="single"/>
        </w:rPr>
      </w:pPr>
      <w:r w:rsidRPr="006C6424">
        <w:rPr>
          <w:rFonts w:ascii="Times New Roman" w:hAnsi="Times New Roman" w:cs="Times New Roman"/>
          <w:u w:val="single"/>
        </w:rPr>
        <w:t>Conclusiones</w:t>
      </w:r>
    </w:p>
    <w:p w14:paraId="1AC032BB" w14:textId="77777777" w:rsidR="00D863EA" w:rsidRDefault="003A4164" w:rsidP="003A4164">
      <w:pPr>
        <w:spacing w:line="360" w:lineRule="auto"/>
        <w:jc w:val="both"/>
        <w:rPr>
          <w:rFonts w:ascii="Times New Roman" w:hAnsi="Times New Roman" w:cs="Times New Roman"/>
          <w:color w:val="000000"/>
          <w:lang w:val="es-419"/>
        </w:rPr>
      </w:pPr>
      <w:r>
        <w:rPr>
          <w:rFonts w:ascii="Times New Roman" w:hAnsi="Times New Roman" w:cs="Times New Roman"/>
          <w:color w:val="000000"/>
          <w:lang w:val="es-419"/>
        </w:rPr>
        <w:t>L</w:t>
      </w:r>
      <w:r w:rsidRPr="00E4375B">
        <w:rPr>
          <w:rFonts w:ascii="Times New Roman" w:hAnsi="Times New Roman" w:cs="Times New Roman"/>
          <w:color w:val="000000"/>
          <w:lang w:val="es-419"/>
        </w:rPr>
        <w:t xml:space="preserve">os organismos emisores de las normas contables, en el marco del paradigma utilitarista, </w:t>
      </w:r>
      <w:r>
        <w:rPr>
          <w:rFonts w:ascii="Times New Roman" w:hAnsi="Times New Roman" w:cs="Times New Roman"/>
          <w:color w:val="000000"/>
          <w:lang w:val="es-419"/>
        </w:rPr>
        <w:t xml:space="preserve">vienen </w:t>
      </w:r>
      <w:r w:rsidRPr="00E4375B">
        <w:rPr>
          <w:rFonts w:ascii="Times New Roman" w:hAnsi="Times New Roman" w:cs="Times New Roman"/>
          <w:color w:val="000000"/>
          <w:lang w:val="es-419"/>
        </w:rPr>
        <w:t>promovi</w:t>
      </w:r>
      <w:r>
        <w:rPr>
          <w:rFonts w:ascii="Times New Roman" w:hAnsi="Times New Roman" w:cs="Times New Roman"/>
          <w:color w:val="000000"/>
          <w:lang w:val="es-419"/>
        </w:rPr>
        <w:t>endo</w:t>
      </w:r>
      <w:r w:rsidRPr="00E4375B">
        <w:rPr>
          <w:rFonts w:ascii="Times New Roman" w:hAnsi="Times New Roman" w:cs="Times New Roman"/>
          <w:color w:val="000000"/>
          <w:lang w:val="es-419"/>
        </w:rPr>
        <w:t xml:space="preserve"> el mejoramiento de la calidad de la información financiera como medio para asegurar su utilidad en el proceso decisorio de los inversores como principales usuarios.</w:t>
      </w:r>
      <w:r w:rsidR="00D863EA">
        <w:rPr>
          <w:rFonts w:ascii="Times New Roman" w:hAnsi="Times New Roman" w:cs="Times New Roman"/>
          <w:color w:val="000000"/>
          <w:lang w:val="es-419"/>
        </w:rPr>
        <w:t xml:space="preserve"> </w:t>
      </w:r>
    </w:p>
    <w:p w14:paraId="63E0FC1A" w14:textId="3BFCF071" w:rsidR="00D863EA" w:rsidRPr="00E4375B" w:rsidRDefault="00D863EA" w:rsidP="00D863EA">
      <w:pPr>
        <w:spacing w:line="360" w:lineRule="auto"/>
        <w:jc w:val="both"/>
        <w:rPr>
          <w:rFonts w:ascii="Times New Roman" w:hAnsi="Times New Roman" w:cs="Times New Roman"/>
        </w:rPr>
      </w:pPr>
      <w:r>
        <w:rPr>
          <w:rFonts w:ascii="Times New Roman" w:hAnsi="Times New Roman" w:cs="Times New Roman"/>
          <w:color w:val="000000"/>
          <w:lang w:val="es-419"/>
        </w:rPr>
        <w:t>Es por esto que</w:t>
      </w:r>
      <w:r>
        <w:rPr>
          <w:rFonts w:ascii="Times New Roman" w:hAnsi="Times New Roman" w:cs="Times New Roman"/>
        </w:rPr>
        <w:t xml:space="preserve"> hace en las últimas décadas del siglo pasado comenzó </w:t>
      </w:r>
      <w:r w:rsidRPr="00E4375B">
        <w:rPr>
          <w:rFonts w:ascii="Times New Roman" w:hAnsi="Times New Roman" w:cs="Times New Roman"/>
        </w:rPr>
        <w:t>a gestarse un proceso de emisión de estándares internacionales que aseguren información financiera de mayor calidad que los cuerpos normativos locales.</w:t>
      </w:r>
      <w:r>
        <w:rPr>
          <w:rFonts w:ascii="Times New Roman" w:hAnsi="Times New Roman" w:cs="Times New Roman"/>
        </w:rPr>
        <w:t xml:space="preserve"> </w:t>
      </w:r>
      <w:r w:rsidRPr="00E4375B">
        <w:rPr>
          <w:rFonts w:ascii="Times New Roman" w:hAnsi="Times New Roman" w:cs="Times New Roman"/>
        </w:rPr>
        <w:t xml:space="preserve">La profesión contable en Argentina no ha quedado al margen de </w:t>
      </w:r>
      <w:r>
        <w:rPr>
          <w:rFonts w:ascii="Times New Roman" w:hAnsi="Times New Roman" w:cs="Times New Roman"/>
        </w:rPr>
        <w:t xml:space="preserve">este proceso puesto que la FACPCE </w:t>
      </w:r>
      <w:r w:rsidRPr="00E4375B">
        <w:rPr>
          <w:rFonts w:ascii="Times New Roman" w:hAnsi="Times New Roman" w:cs="Times New Roman"/>
        </w:rPr>
        <w:t>estableció la adopción de las N</w:t>
      </w:r>
      <w:r>
        <w:rPr>
          <w:rFonts w:ascii="Times New Roman" w:hAnsi="Times New Roman" w:cs="Times New Roman"/>
        </w:rPr>
        <w:t xml:space="preserve">IIF </w:t>
      </w:r>
      <w:r w:rsidRPr="00E4375B">
        <w:rPr>
          <w:rFonts w:ascii="Times New Roman" w:hAnsi="Times New Roman" w:cs="Times New Roman"/>
        </w:rPr>
        <w:t xml:space="preserve">en forma obligatoria para </w:t>
      </w:r>
      <w:r w:rsidRPr="00E4375B">
        <w:rPr>
          <w:rFonts w:ascii="Times New Roman" w:hAnsi="Times New Roman" w:cs="Times New Roman"/>
        </w:rPr>
        <w:lastRenderedPageBreak/>
        <w:t xml:space="preserve">la preparación de Estados Contables de las entidades incluidas en el régimen de oferta pública, para los ejercicios que se iniciaron a partir del 01 de enero de 2012. </w:t>
      </w:r>
    </w:p>
    <w:p w14:paraId="49346E5A" w14:textId="47CF4AD8" w:rsidR="00D863EA" w:rsidRPr="00E4375B" w:rsidRDefault="00D863EA" w:rsidP="00D863EA">
      <w:pPr>
        <w:spacing w:line="360" w:lineRule="auto"/>
        <w:jc w:val="both"/>
        <w:rPr>
          <w:rFonts w:ascii="Times New Roman" w:hAnsi="Times New Roman" w:cs="Times New Roman"/>
        </w:rPr>
      </w:pPr>
      <w:r w:rsidRPr="00E4375B">
        <w:rPr>
          <w:rFonts w:ascii="Times New Roman" w:hAnsi="Times New Roman" w:cs="Times New Roman"/>
        </w:rPr>
        <w:t>Ahora bien, las entidades financieras fueron exceptuadas, pero el Banco Central de la República Argentina con la Comunicación “A” 5541 de fecha 12 de febrero de 2014 estableció la convergencia hacia NIIF de los ejercicios anuales iniciados a partir del 01 de enero de 2018.</w:t>
      </w:r>
      <w:r w:rsidR="00671B73">
        <w:rPr>
          <w:rFonts w:ascii="Times New Roman" w:hAnsi="Times New Roman" w:cs="Times New Roman"/>
        </w:rPr>
        <w:t xml:space="preserve"> En este sentido, </w:t>
      </w:r>
      <w:r w:rsidR="00671B73" w:rsidRPr="00E4375B">
        <w:rPr>
          <w:rFonts w:ascii="Times New Roman" w:hAnsi="Times New Roman" w:cs="Times New Roman"/>
        </w:rPr>
        <w:t>el presente trabajo tiene como objetivo analizar la calidad de la información contable de la</w:t>
      </w:r>
      <w:r w:rsidR="00671B73">
        <w:rPr>
          <w:rFonts w:ascii="Times New Roman" w:hAnsi="Times New Roman" w:cs="Times New Roman"/>
        </w:rPr>
        <w:t xml:space="preserve"> industria bancaria</w:t>
      </w:r>
      <w:r w:rsidR="00671B73" w:rsidRPr="00E4375B">
        <w:rPr>
          <w:rFonts w:ascii="Times New Roman" w:hAnsi="Times New Roman" w:cs="Times New Roman"/>
        </w:rPr>
        <w:t xml:space="preserve"> en Argentina en el período previo a la adopción de las NIIF.</w:t>
      </w:r>
    </w:p>
    <w:p w14:paraId="57B14C8B" w14:textId="03D08711" w:rsidR="003A4164" w:rsidRDefault="0030027B" w:rsidP="003A4164">
      <w:pPr>
        <w:spacing w:line="360" w:lineRule="auto"/>
        <w:jc w:val="both"/>
        <w:rPr>
          <w:rFonts w:ascii="Times New Roman" w:hAnsi="Times New Roman" w:cs="Times New Roman"/>
        </w:rPr>
      </w:pPr>
      <w:r>
        <w:rPr>
          <w:rFonts w:ascii="Times New Roman" w:hAnsi="Times New Roman" w:cs="Times New Roman"/>
        </w:rPr>
        <w:t xml:space="preserve">Los resultados del estudio evidencian que </w:t>
      </w:r>
      <w:r w:rsidRPr="006C6424">
        <w:rPr>
          <w:rFonts w:ascii="Times New Roman" w:hAnsi="Times New Roman" w:cs="Times New Roman"/>
        </w:rPr>
        <w:t>la información financiera referida a los resultados de las entidades bancarias que cotizan en Argentina</w:t>
      </w:r>
      <w:r w:rsidR="00F54558">
        <w:rPr>
          <w:rFonts w:ascii="Times New Roman" w:hAnsi="Times New Roman" w:cs="Times New Roman"/>
        </w:rPr>
        <w:t>,</w:t>
      </w:r>
      <w:r w:rsidRPr="006C6424">
        <w:rPr>
          <w:rFonts w:ascii="Times New Roman" w:hAnsi="Times New Roman" w:cs="Times New Roman"/>
        </w:rPr>
        <w:t xml:space="preserve"> durante el </w:t>
      </w:r>
      <w:r>
        <w:rPr>
          <w:rFonts w:ascii="Times New Roman" w:hAnsi="Times New Roman" w:cs="Times New Roman"/>
        </w:rPr>
        <w:t>período de empleo de la normativa local</w:t>
      </w:r>
      <w:r w:rsidR="00F54558">
        <w:rPr>
          <w:rFonts w:ascii="Times New Roman" w:hAnsi="Times New Roman" w:cs="Times New Roman"/>
        </w:rPr>
        <w:t>,</w:t>
      </w:r>
      <w:r>
        <w:rPr>
          <w:rFonts w:ascii="Times New Roman" w:hAnsi="Times New Roman" w:cs="Times New Roman"/>
        </w:rPr>
        <w:t xml:space="preserve"> </w:t>
      </w:r>
      <w:r w:rsidRPr="006C6424">
        <w:rPr>
          <w:rFonts w:ascii="Times New Roman" w:hAnsi="Times New Roman" w:cs="Times New Roman"/>
        </w:rPr>
        <w:t>es de calidad puesto que posee relevancia para el valor</w:t>
      </w:r>
      <w:r>
        <w:rPr>
          <w:rFonts w:ascii="Times New Roman" w:hAnsi="Times New Roman" w:cs="Times New Roman"/>
        </w:rPr>
        <w:t xml:space="preserve"> y por lo tanto es útil para la toma de decisiones de los inversores; sin embargo, el valor contable del patrimonio</w:t>
      </w:r>
      <w:r w:rsidRPr="006C6424">
        <w:rPr>
          <w:rFonts w:ascii="Times New Roman" w:hAnsi="Times New Roman" w:cs="Times New Roman"/>
        </w:rPr>
        <w:t xml:space="preserve"> no es emplead</w:t>
      </w:r>
      <w:r>
        <w:rPr>
          <w:rFonts w:ascii="Times New Roman" w:hAnsi="Times New Roman" w:cs="Times New Roman"/>
        </w:rPr>
        <w:t>o</w:t>
      </w:r>
      <w:r w:rsidRPr="006C6424">
        <w:rPr>
          <w:rFonts w:ascii="Times New Roman" w:hAnsi="Times New Roman" w:cs="Times New Roman"/>
        </w:rPr>
        <w:t xml:space="preserve"> por los inversores en sus modelos decisorios</w:t>
      </w:r>
      <w:r w:rsidR="00F54558">
        <w:rPr>
          <w:rFonts w:ascii="Times New Roman" w:hAnsi="Times New Roman" w:cs="Times New Roman"/>
        </w:rPr>
        <w:t xml:space="preserve"> en esta etapa.</w:t>
      </w:r>
    </w:p>
    <w:p w14:paraId="39827BC6" w14:textId="623C58A4" w:rsidR="00A84C77" w:rsidRPr="000724AB" w:rsidRDefault="0030027B" w:rsidP="0030027B">
      <w:pPr>
        <w:spacing w:line="360" w:lineRule="auto"/>
        <w:jc w:val="both"/>
        <w:rPr>
          <w:rFonts w:ascii="Times New Roman" w:hAnsi="Times New Roman" w:cs="Times New Roman"/>
        </w:rPr>
      </w:pPr>
      <w:r w:rsidRPr="00AB4A6A">
        <w:rPr>
          <w:rFonts w:ascii="Times New Roman" w:hAnsi="Times New Roman" w:cs="Times New Roman"/>
        </w:rPr>
        <w:t>En análisis posteriores se avanzará en el estudio de la calidad de las cifras contables de la industria bancaria elaboradas en base a los estándares internacionales</w:t>
      </w:r>
      <w:r w:rsidR="001A73C6" w:rsidRPr="00AB4A6A">
        <w:rPr>
          <w:rFonts w:ascii="Times New Roman" w:hAnsi="Times New Roman" w:cs="Times New Roman"/>
        </w:rPr>
        <w:t>.</w:t>
      </w:r>
      <w:r w:rsidRPr="00AB4A6A">
        <w:rPr>
          <w:rFonts w:ascii="Times New Roman" w:hAnsi="Times New Roman" w:cs="Times New Roman"/>
        </w:rPr>
        <w:t xml:space="preserve"> </w:t>
      </w:r>
      <w:r w:rsidR="001A73C6" w:rsidRPr="00AB4A6A">
        <w:rPr>
          <w:rFonts w:ascii="Times New Roman" w:hAnsi="Times New Roman" w:cs="Times New Roman"/>
        </w:rPr>
        <w:t>D</w:t>
      </w:r>
      <w:r w:rsidR="000C47CD" w:rsidRPr="00AB4A6A">
        <w:rPr>
          <w:rFonts w:ascii="Times New Roman" w:hAnsi="Times New Roman" w:cs="Times New Roman"/>
        </w:rPr>
        <w:t xml:space="preserve">e </w:t>
      </w:r>
      <w:r w:rsidR="001A73C6" w:rsidRPr="00AB4A6A">
        <w:rPr>
          <w:rFonts w:ascii="Times New Roman" w:hAnsi="Times New Roman" w:cs="Times New Roman"/>
        </w:rPr>
        <w:t xml:space="preserve">esta </w:t>
      </w:r>
      <w:r w:rsidR="000C47CD" w:rsidRPr="00AB4A6A">
        <w:rPr>
          <w:rFonts w:ascii="Times New Roman" w:hAnsi="Times New Roman" w:cs="Times New Roman"/>
        </w:rPr>
        <w:t xml:space="preserve">manera </w:t>
      </w:r>
      <w:r w:rsidR="001A73C6" w:rsidRPr="00AB4A6A">
        <w:rPr>
          <w:rFonts w:ascii="Times New Roman" w:hAnsi="Times New Roman" w:cs="Times New Roman"/>
        </w:rPr>
        <w:t xml:space="preserve">se recabará evidencia </w:t>
      </w:r>
      <w:r w:rsidR="00AB4A6A">
        <w:rPr>
          <w:rFonts w:ascii="Times New Roman" w:hAnsi="Times New Roman" w:cs="Times New Roman"/>
        </w:rPr>
        <w:t xml:space="preserve">de importancia para los elaboradores de la política contable a nivel nacional y los </w:t>
      </w:r>
      <w:r w:rsidR="00AB4A6A" w:rsidRPr="00AB4A6A">
        <w:rPr>
          <w:rFonts w:ascii="Times New Roman" w:hAnsi="Times New Roman" w:cs="Times New Roman"/>
        </w:rPr>
        <w:t xml:space="preserve">principales organismos reguladores de las empresas </w:t>
      </w:r>
      <w:r w:rsidR="00AB4A6A">
        <w:rPr>
          <w:rFonts w:ascii="Times New Roman" w:hAnsi="Times New Roman" w:cs="Times New Roman"/>
        </w:rPr>
        <w:t xml:space="preserve">bancarias </w:t>
      </w:r>
      <w:r w:rsidR="00AB4A6A" w:rsidRPr="00AB4A6A">
        <w:rPr>
          <w:rFonts w:ascii="Times New Roman" w:hAnsi="Times New Roman" w:cs="Times New Roman"/>
        </w:rPr>
        <w:t>cotizantes en el mercado de valores de Argentina, la CNV y el BCRA, entre otros actores interesados en el proceso de normalización de la información financiera.</w:t>
      </w:r>
    </w:p>
    <w:sdt>
      <w:sdtPr>
        <w:rPr>
          <w:rFonts w:asciiTheme="minorHAnsi" w:eastAsiaTheme="minorHAnsi" w:hAnsiTheme="minorHAnsi" w:cstheme="minorBidi"/>
          <w:color w:val="auto"/>
          <w:sz w:val="22"/>
          <w:szCs w:val="22"/>
          <w:lang w:val="es-ES" w:eastAsia="en-US"/>
        </w:rPr>
        <w:id w:val="599220762"/>
        <w:docPartObj>
          <w:docPartGallery w:val="Bibliographies"/>
          <w:docPartUnique/>
        </w:docPartObj>
      </w:sdtPr>
      <w:sdtEndPr>
        <w:rPr>
          <w:lang w:val="es-AR"/>
        </w:rPr>
      </w:sdtEndPr>
      <w:sdtContent>
        <w:p w14:paraId="3B73C3CA" w14:textId="42B51F67" w:rsidR="0075375E" w:rsidRPr="006C6424" w:rsidRDefault="00505AD5" w:rsidP="00505AD5">
          <w:pPr>
            <w:pStyle w:val="Ttulo1"/>
            <w:jc w:val="both"/>
            <w:rPr>
              <w:rFonts w:ascii="Times New Roman" w:hAnsi="Times New Roman" w:cs="Times New Roman"/>
              <w:sz w:val="22"/>
              <w:szCs w:val="22"/>
              <w:u w:val="single"/>
            </w:rPr>
          </w:pPr>
          <w:r w:rsidRPr="006C6424">
            <w:rPr>
              <w:rFonts w:ascii="Times New Roman" w:eastAsiaTheme="minorHAnsi" w:hAnsi="Times New Roman" w:cs="Times New Roman"/>
              <w:color w:val="auto"/>
              <w:sz w:val="22"/>
              <w:szCs w:val="22"/>
              <w:u w:val="single"/>
              <w:lang w:val="es-ES" w:eastAsia="en-US"/>
            </w:rPr>
            <w:t>Referencias Bibliográficas</w:t>
          </w:r>
        </w:p>
        <w:sdt>
          <w:sdtPr>
            <w:rPr>
              <w:rFonts w:ascii="Times New Roman" w:hAnsi="Times New Roman" w:cs="Times New Roman"/>
            </w:rPr>
            <w:id w:val="-573587230"/>
            <w:bibliography/>
          </w:sdtPr>
          <w:sdtEndPr>
            <w:rPr>
              <w:rFonts w:asciiTheme="minorHAnsi" w:hAnsiTheme="minorHAnsi" w:cstheme="minorBidi"/>
            </w:rPr>
          </w:sdtEndPr>
          <w:sdtContent>
            <w:p w14:paraId="6D04E37A" w14:textId="1E9A7C3B" w:rsidR="00505AD5" w:rsidRPr="00505AD5" w:rsidRDefault="0075375E" w:rsidP="00505AD5">
              <w:pPr>
                <w:pStyle w:val="Bibliografa"/>
                <w:jc w:val="both"/>
                <w:rPr>
                  <w:rFonts w:ascii="Times New Roman" w:hAnsi="Times New Roman" w:cs="Times New Roman"/>
                  <w:noProof/>
                  <w:sz w:val="24"/>
                  <w:szCs w:val="24"/>
                </w:rPr>
              </w:pPr>
              <w:r w:rsidRPr="00505AD5">
                <w:rPr>
                  <w:rFonts w:ascii="Times New Roman" w:hAnsi="Times New Roman" w:cs="Times New Roman"/>
                </w:rPr>
                <w:fldChar w:fldCharType="begin"/>
              </w:r>
              <w:r w:rsidRPr="00505AD5">
                <w:rPr>
                  <w:rFonts w:ascii="Times New Roman" w:hAnsi="Times New Roman" w:cs="Times New Roman"/>
                </w:rPr>
                <w:instrText>BIBLIOGRAPHY</w:instrText>
              </w:r>
              <w:r w:rsidRPr="00505AD5">
                <w:rPr>
                  <w:rFonts w:ascii="Times New Roman" w:hAnsi="Times New Roman" w:cs="Times New Roman"/>
                </w:rPr>
                <w:fldChar w:fldCharType="separate"/>
              </w:r>
            </w:p>
            <w:p w14:paraId="6F97AE70" w14:textId="4507059F" w:rsidR="00505AD5" w:rsidRPr="00033A60" w:rsidRDefault="00505AD5" w:rsidP="00505AD5">
              <w:pPr>
                <w:pStyle w:val="Bibliografa"/>
                <w:jc w:val="both"/>
                <w:rPr>
                  <w:rFonts w:ascii="Times New Roman" w:hAnsi="Times New Roman" w:cs="Times New Roman"/>
                  <w:noProof/>
                  <w:lang w:val="en-US"/>
                </w:rPr>
              </w:pPr>
              <w:r w:rsidRPr="00505AD5">
                <w:rPr>
                  <w:rFonts w:ascii="Times New Roman" w:hAnsi="Times New Roman" w:cs="Times New Roman"/>
                  <w:noProof/>
                </w:rPr>
                <w:t xml:space="preserve">Agostino, M., Drago, D., &amp; Silipo, D. B. (2011). </w:t>
              </w:r>
              <w:r w:rsidRPr="00033A60">
                <w:rPr>
                  <w:rFonts w:ascii="Times New Roman" w:hAnsi="Times New Roman" w:cs="Times New Roman"/>
                  <w:noProof/>
                  <w:lang w:val="en-US"/>
                </w:rPr>
                <w:t xml:space="preserve">The value relevance of IFRS in the European banking. </w:t>
              </w:r>
              <w:r w:rsidRPr="00033A60">
                <w:rPr>
                  <w:rFonts w:ascii="Times New Roman" w:hAnsi="Times New Roman" w:cs="Times New Roman"/>
                  <w:i/>
                  <w:iCs/>
                  <w:noProof/>
                  <w:lang w:val="en-US"/>
                </w:rPr>
                <w:t>Review of Quantitative Finance and Accounting</w:t>
              </w:r>
              <w:r w:rsidRPr="00033A60">
                <w:rPr>
                  <w:rFonts w:ascii="Times New Roman" w:hAnsi="Times New Roman" w:cs="Times New Roman"/>
                  <w:noProof/>
                  <w:lang w:val="en-US"/>
                </w:rPr>
                <w:t xml:space="preserve">, </w:t>
              </w:r>
              <w:r w:rsidRPr="00033A60">
                <w:rPr>
                  <w:rFonts w:ascii="Times New Roman" w:hAnsi="Times New Roman" w:cs="Times New Roman"/>
                  <w:i/>
                  <w:iCs/>
                  <w:noProof/>
                  <w:lang w:val="en-US"/>
                </w:rPr>
                <w:t>1</w:t>
              </w:r>
              <w:r w:rsidRPr="00033A60">
                <w:rPr>
                  <w:rFonts w:ascii="Times New Roman" w:hAnsi="Times New Roman" w:cs="Times New Roman"/>
                  <w:noProof/>
                  <w:lang w:val="en-US"/>
                </w:rPr>
                <w:t xml:space="preserve"> (36), 437–457. https://doi.org/</w:t>
              </w:r>
              <w:hyperlink r:id="rId12" w:history="1">
                <w:r w:rsidRPr="00033A60">
                  <w:rPr>
                    <w:rStyle w:val="Hipervnculo"/>
                    <w:rFonts w:ascii="Times New Roman" w:hAnsi="Times New Roman" w:cs="Times New Roman"/>
                    <w:noProof/>
                    <w:lang w:val="en-US"/>
                  </w:rPr>
                  <w:t>10.1007/s11156-010-0184-1</w:t>
                </w:r>
              </w:hyperlink>
            </w:p>
            <w:p w14:paraId="290BE6EA" w14:textId="40F52C5B" w:rsidR="00505AD5" w:rsidRPr="00033A60" w:rsidRDefault="00505AD5" w:rsidP="00505AD5">
              <w:pPr>
                <w:pStyle w:val="Bibliografa"/>
                <w:jc w:val="both"/>
                <w:rPr>
                  <w:rFonts w:ascii="Times New Roman" w:hAnsi="Times New Roman" w:cs="Times New Roman"/>
                  <w:noProof/>
                  <w:lang w:val="en-US"/>
                </w:rPr>
              </w:pPr>
              <w:r w:rsidRPr="00033A60">
                <w:rPr>
                  <w:rFonts w:ascii="Times New Roman" w:hAnsi="Times New Roman" w:cs="Times New Roman"/>
                  <w:noProof/>
                  <w:lang w:val="en-US"/>
                </w:rPr>
                <w:t xml:space="preserve">Ahmed, A., Neel, M., &amp; Wang, D. (2013). Does Mandatory Adoption of IFRS Improve Accounting Quality? Preliminary Evidence. </w:t>
              </w:r>
              <w:r w:rsidRPr="00033A60">
                <w:rPr>
                  <w:rFonts w:ascii="Times New Roman" w:hAnsi="Times New Roman" w:cs="Times New Roman"/>
                  <w:i/>
                  <w:iCs/>
                  <w:noProof/>
                  <w:lang w:val="en-US"/>
                </w:rPr>
                <w:t>Contemporary Accounting Research</w:t>
              </w:r>
              <w:r w:rsidRPr="00033A60">
                <w:rPr>
                  <w:rFonts w:ascii="Times New Roman" w:hAnsi="Times New Roman" w:cs="Times New Roman"/>
                  <w:noProof/>
                  <w:lang w:val="en-US"/>
                </w:rPr>
                <w:t xml:space="preserve">, </w:t>
              </w:r>
              <w:r w:rsidRPr="00033A60">
                <w:rPr>
                  <w:rFonts w:ascii="Times New Roman" w:hAnsi="Times New Roman" w:cs="Times New Roman"/>
                  <w:i/>
                  <w:iCs/>
                  <w:noProof/>
                  <w:lang w:val="en-US"/>
                </w:rPr>
                <w:t>30</w:t>
              </w:r>
              <w:r w:rsidRPr="00033A60">
                <w:rPr>
                  <w:rFonts w:ascii="Times New Roman" w:hAnsi="Times New Roman" w:cs="Times New Roman"/>
                  <w:noProof/>
                  <w:lang w:val="en-US"/>
                </w:rPr>
                <w:t xml:space="preserve"> (4), 1344-1372. https://doi.org/</w:t>
              </w:r>
              <w:hyperlink r:id="rId13" w:history="1">
                <w:r w:rsidRPr="00033A60">
                  <w:rPr>
                    <w:rStyle w:val="Hipervnculo"/>
                    <w:rFonts w:ascii="Times New Roman" w:hAnsi="Times New Roman" w:cs="Times New Roman"/>
                    <w:noProof/>
                    <w:lang w:val="en-US"/>
                  </w:rPr>
                  <w:t>10.1111/j.1911-3846.2012.01193.x</w:t>
                </w:r>
              </w:hyperlink>
            </w:p>
            <w:p w14:paraId="48A66BF5" w14:textId="77777777" w:rsidR="00505AD5" w:rsidRPr="00033A60" w:rsidRDefault="00505AD5" w:rsidP="00505AD5">
              <w:pPr>
                <w:pStyle w:val="Bibliografa"/>
                <w:jc w:val="both"/>
                <w:rPr>
                  <w:rFonts w:ascii="Times New Roman" w:hAnsi="Times New Roman" w:cs="Times New Roman"/>
                  <w:noProof/>
                  <w:lang w:val="en-US"/>
                </w:rPr>
              </w:pPr>
              <w:r w:rsidRPr="00033A60">
                <w:rPr>
                  <w:rFonts w:ascii="Times New Roman" w:hAnsi="Times New Roman" w:cs="Times New Roman"/>
                  <w:noProof/>
                  <w:lang w:val="en-US"/>
                </w:rPr>
                <w:t xml:space="preserve">Barth, M. (2000). Valuation‐based accounting research: Implications for financial reporting and opportunities for future research. </w:t>
              </w:r>
              <w:r w:rsidRPr="00033A60">
                <w:rPr>
                  <w:rFonts w:ascii="Times New Roman" w:hAnsi="Times New Roman" w:cs="Times New Roman"/>
                  <w:i/>
                  <w:iCs/>
                  <w:noProof/>
                  <w:lang w:val="en-US"/>
                </w:rPr>
                <w:t>Accounting &amp; Finance</w:t>
              </w:r>
              <w:r w:rsidRPr="00033A60">
                <w:rPr>
                  <w:rFonts w:ascii="Times New Roman" w:hAnsi="Times New Roman" w:cs="Times New Roman"/>
                  <w:noProof/>
                  <w:lang w:val="en-US"/>
                </w:rPr>
                <w:t xml:space="preserve">, </w:t>
              </w:r>
              <w:r w:rsidRPr="00033A60">
                <w:rPr>
                  <w:rFonts w:ascii="Times New Roman" w:hAnsi="Times New Roman" w:cs="Times New Roman"/>
                  <w:i/>
                  <w:iCs/>
                  <w:noProof/>
                  <w:lang w:val="en-US"/>
                </w:rPr>
                <w:t>40</w:t>
              </w:r>
              <w:r w:rsidRPr="00033A60">
                <w:rPr>
                  <w:rFonts w:ascii="Times New Roman" w:hAnsi="Times New Roman" w:cs="Times New Roman"/>
                  <w:noProof/>
                  <w:lang w:val="en-US"/>
                </w:rPr>
                <w:t xml:space="preserve"> (1), 7-32. </w:t>
              </w:r>
            </w:p>
            <w:p w14:paraId="6DE76559" w14:textId="6CF30990" w:rsidR="0042548C" w:rsidRPr="0042548C" w:rsidRDefault="0042548C" w:rsidP="0042548C">
              <w:pPr>
                <w:pStyle w:val="Bibliografa"/>
                <w:spacing w:after="120" w:line="240" w:lineRule="auto"/>
                <w:jc w:val="both"/>
                <w:rPr>
                  <w:rFonts w:ascii="Times New Roman" w:hAnsi="Times New Roman" w:cs="Times New Roman"/>
                  <w:noProof/>
                  <w:lang w:val="en-US"/>
                </w:rPr>
              </w:pPr>
              <w:r w:rsidRPr="0042548C">
                <w:rPr>
                  <w:rFonts w:ascii="Times New Roman" w:hAnsi="Times New Roman" w:cs="Times New Roman"/>
                  <w:noProof/>
                  <w:lang w:val="en-US"/>
                </w:rPr>
                <w:t xml:space="preserve">Barth, M. E. (2006). </w:t>
              </w:r>
              <w:r w:rsidRPr="0042548C">
                <w:rPr>
                  <w:rFonts w:ascii="Times New Roman" w:hAnsi="Times New Roman" w:cs="Times New Roman"/>
                  <w:i/>
                  <w:iCs/>
                  <w:noProof/>
                  <w:lang w:val="en-US"/>
                </w:rPr>
                <w:t>Research, Standard Setting, and Global Financial Reporting</w:t>
              </w:r>
              <w:r w:rsidRPr="0042548C">
                <w:rPr>
                  <w:rFonts w:ascii="Times New Roman" w:hAnsi="Times New Roman" w:cs="Times New Roman"/>
                  <w:noProof/>
                  <w:lang w:val="en-US"/>
                </w:rPr>
                <w:t>, 2007</w:t>
              </w:r>
              <w:r w:rsidRPr="0042548C">
                <w:rPr>
                  <w:rFonts w:ascii="Times New Roman" w:hAnsi="Times New Roman" w:cs="Times New Roman"/>
                  <w:noProof/>
                  <w:vertAlign w:val="superscript"/>
                  <w:lang w:val="en-US"/>
                </w:rPr>
                <w:t>th</w:t>
              </w:r>
              <w:r w:rsidRPr="0042548C">
                <w:rPr>
                  <w:rFonts w:ascii="Times New Roman" w:hAnsi="Times New Roman" w:cs="Times New Roman"/>
                  <w:noProof/>
                  <w:lang w:val="en-US"/>
                </w:rPr>
                <w:t xml:space="preserve"> edition. Foundations and Trends in Accounting.</w:t>
              </w:r>
            </w:p>
            <w:p w14:paraId="17597F10" w14:textId="0209893F" w:rsidR="00505AD5" w:rsidRPr="00033A60" w:rsidRDefault="00505AD5" w:rsidP="00505AD5">
              <w:pPr>
                <w:pStyle w:val="Bibliografa"/>
                <w:jc w:val="both"/>
                <w:rPr>
                  <w:rFonts w:ascii="Times New Roman" w:hAnsi="Times New Roman" w:cs="Times New Roman"/>
                  <w:noProof/>
                  <w:lang w:val="en-US"/>
                </w:rPr>
              </w:pPr>
              <w:r w:rsidRPr="00033A60">
                <w:rPr>
                  <w:rFonts w:ascii="Times New Roman" w:hAnsi="Times New Roman" w:cs="Times New Roman"/>
                  <w:noProof/>
                  <w:lang w:val="en-US"/>
                </w:rPr>
                <w:t xml:space="preserve">Barth, M., Landsman, W., &amp; Lang, M. (2008). International Accounting Standards and Accounting Quality. </w:t>
              </w:r>
              <w:r w:rsidRPr="00033A60">
                <w:rPr>
                  <w:rFonts w:ascii="Times New Roman" w:hAnsi="Times New Roman" w:cs="Times New Roman"/>
                  <w:i/>
                  <w:iCs/>
                  <w:noProof/>
                  <w:lang w:val="en-US"/>
                </w:rPr>
                <w:t>Journal of Accounting Research</w:t>
              </w:r>
              <w:r w:rsidRPr="00033A60">
                <w:rPr>
                  <w:rFonts w:ascii="Times New Roman" w:hAnsi="Times New Roman" w:cs="Times New Roman"/>
                  <w:noProof/>
                  <w:lang w:val="en-US"/>
                </w:rPr>
                <w:t xml:space="preserve">, </w:t>
              </w:r>
              <w:r w:rsidRPr="00033A60">
                <w:rPr>
                  <w:rFonts w:ascii="Times New Roman" w:hAnsi="Times New Roman" w:cs="Times New Roman"/>
                  <w:i/>
                  <w:iCs/>
                  <w:noProof/>
                  <w:lang w:val="en-US"/>
                </w:rPr>
                <w:t>46</w:t>
              </w:r>
              <w:r w:rsidRPr="00033A60">
                <w:rPr>
                  <w:rFonts w:ascii="Times New Roman" w:hAnsi="Times New Roman" w:cs="Times New Roman"/>
                  <w:noProof/>
                  <w:lang w:val="en-US"/>
                </w:rPr>
                <w:t xml:space="preserve"> (3), 466-498. https://doi.org/</w:t>
              </w:r>
              <w:hyperlink r:id="rId14" w:history="1">
                <w:r w:rsidRPr="00033A60">
                  <w:rPr>
                    <w:rStyle w:val="Hipervnculo"/>
                    <w:rFonts w:ascii="Times New Roman" w:hAnsi="Times New Roman" w:cs="Times New Roman"/>
                    <w:noProof/>
                    <w:lang w:val="en-US"/>
                  </w:rPr>
                  <w:t>10.1111/j.1475-679X.2008.00287.x</w:t>
                </w:r>
              </w:hyperlink>
            </w:p>
            <w:p w14:paraId="566B9364" w14:textId="0E60F2BE" w:rsidR="00505AD5" w:rsidRPr="00033A60" w:rsidRDefault="00505AD5" w:rsidP="00505AD5">
              <w:pPr>
                <w:pStyle w:val="Bibliografa"/>
                <w:jc w:val="both"/>
                <w:rPr>
                  <w:rFonts w:ascii="Times New Roman" w:hAnsi="Times New Roman" w:cs="Times New Roman"/>
                  <w:noProof/>
                  <w:lang w:val="en-US"/>
                </w:rPr>
              </w:pPr>
              <w:r w:rsidRPr="00033A60">
                <w:rPr>
                  <w:rFonts w:ascii="Times New Roman" w:hAnsi="Times New Roman" w:cs="Times New Roman"/>
                  <w:noProof/>
                  <w:lang w:val="en-US"/>
                </w:rPr>
                <w:t xml:space="preserve">Bhatia, M. &amp; Mulenga, M. J. (2019). Value relevance of accounting information: comparative study of Indian public and private sector. </w:t>
              </w:r>
              <w:r w:rsidRPr="00033A60">
                <w:rPr>
                  <w:rFonts w:ascii="Times New Roman" w:hAnsi="Times New Roman" w:cs="Times New Roman"/>
                  <w:i/>
                  <w:iCs/>
                  <w:noProof/>
                  <w:lang w:val="en-US"/>
                </w:rPr>
                <w:t xml:space="preserve">International Journal of Indian Culture and Business Management </w:t>
              </w:r>
              <w:r w:rsidRPr="00033A60">
                <w:rPr>
                  <w:rFonts w:ascii="Times New Roman" w:hAnsi="Times New Roman" w:cs="Times New Roman"/>
                  <w:noProof/>
                  <w:lang w:val="en-US"/>
                </w:rPr>
                <w:t xml:space="preserve">, </w:t>
              </w:r>
              <w:r w:rsidRPr="00033A60">
                <w:rPr>
                  <w:rFonts w:ascii="Times New Roman" w:hAnsi="Times New Roman" w:cs="Times New Roman"/>
                  <w:i/>
                  <w:iCs/>
                  <w:noProof/>
                  <w:lang w:val="en-US"/>
                </w:rPr>
                <w:t>18</w:t>
              </w:r>
              <w:r w:rsidRPr="00033A60">
                <w:rPr>
                  <w:rFonts w:ascii="Times New Roman" w:hAnsi="Times New Roman" w:cs="Times New Roman"/>
                  <w:noProof/>
                  <w:lang w:val="en-US"/>
                </w:rPr>
                <w:t xml:space="preserve"> (1), 12-33. https://doi.org/</w:t>
              </w:r>
              <w:hyperlink r:id="rId15" w:history="1">
                <w:r w:rsidRPr="00033A60">
                  <w:rPr>
                    <w:rStyle w:val="Hipervnculo"/>
                    <w:rFonts w:ascii="Times New Roman" w:hAnsi="Times New Roman" w:cs="Times New Roman"/>
                    <w:noProof/>
                    <w:lang w:val="en-US"/>
                  </w:rPr>
                  <w:t>10.1504/IJICBM.2019.096922</w:t>
                </w:r>
              </w:hyperlink>
            </w:p>
            <w:p w14:paraId="09110AE0" w14:textId="049F2882" w:rsidR="00505AD5" w:rsidRPr="00033A60" w:rsidRDefault="00505AD5" w:rsidP="00505AD5">
              <w:pPr>
                <w:pStyle w:val="Bibliografa"/>
                <w:jc w:val="both"/>
                <w:rPr>
                  <w:rFonts w:ascii="Times New Roman" w:hAnsi="Times New Roman" w:cs="Times New Roman"/>
                  <w:noProof/>
                  <w:lang w:val="en-US"/>
                </w:rPr>
              </w:pPr>
              <w:r w:rsidRPr="00033A60">
                <w:rPr>
                  <w:rFonts w:ascii="Times New Roman" w:hAnsi="Times New Roman" w:cs="Times New Roman"/>
                  <w:noProof/>
                  <w:lang w:val="en-US"/>
                </w:rPr>
                <w:lastRenderedPageBreak/>
                <w:t xml:space="preserve">Bolibok, P. (2014). The impact of IFRS on the value relevance of accounting data of banks listed on the Warsaw stock exchange. </w:t>
              </w:r>
              <w:r w:rsidRPr="00033A60">
                <w:rPr>
                  <w:rFonts w:ascii="Times New Roman" w:hAnsi="Times New Roman" w:cs="Times New Roman"/>
                  <w:i/>
                  <w:iCs/>
                  <w:noProof/>
                  <w:lang w:val="en-US"/>
                </w:rPr>
                <w:t>Copernican Journal of Finance &amp; Accounting</w:t>
              </w:r>
              <w:r w:rsidRPr="00033A60">
                <w:rPr>
                  <w:rFonts w:ascii="Times New Roman" w:hAnsi="Times New Roman" w:cs="Times New Roman"/>
                  <w:noProof/>
                  <w:lang w:val="en-US"/>
                </w:rPr>
                <w:t xml:space="preserve">, </w:t>
              </w:r>
              <w:r w:rsidRPr="00033A60">
                <w:rPr>
                  <w:rFonts w:ascii="Times New Roman" w:hAnsi="Times New Roman" w:cs="Times New Roman"/>
                  <w:i/>
                  <w:iCs/>
                  <w:noProof/>
                  <w:lang w:val="en-US"/>
                </w:rPr>
                <w:t>3</w:t>
              </w:r>
              <w:r w:rsidRPr="00033A60">
                <w:rPr>
                  <w:rFonts w:ascii="Times New Roman" w:hAnsi="Times New Roman" w:cs="Times New Roman"/>
                  <w:noProof/>
                  <w:lang w:val="en-US"/>
                </w:rPr>
                <w:t xml:space="preserve"> (1), 33-43. https://doi.org/</w:t>
              </w:r>
              <w:hyperlink r:id="rId16" w:history="1">
                <w:r w:rsidRPr="00033A60">
                  <w:rPr>
                    <w:rStyle w:val="Hipervnculo"/>
                    <w:rFonts w:ascii="Times New Roman" w:hAnsi="Times New Roman" w:cs="Times New Roman"/>
                    <w:noProof/>
                    <w:lang w:val="en-US"/>
                  </w:rPr>
                  <w:t>10.12775/CJFA.2014.003</w:t>
                </w:r>
              </w:hyperlink>
            </w:p>
            <w:p w14:paraId="4C0C47A9" w14:textId="0E25F17E" w:rsidR="000D53E0" w:rsidRPr="00033A60" w:rsidRDefault="000D53E0" w:rsidP="000D53E0">
              <w:pPr>
                <w:jc w:val="both"/>
                <w:rPr>
                  <w:rFonts w:ascii="Times New Roman" w:hAnsi="Times New Roman" w:cs="Times New Roman"/>
                  <w:lang w:val="en-US"/>
                </w:rPr>
              </w:pPr>
              <w:r w:rsidRPr="000D53E0">
                <w:rPr>
                  <w:rFonts w:ascii="Times New Roman" w:hAnsi="Times New Roman" w:cs="Times New Roman"/>
                  <w:noProof/>
                  <w:lang w:val="en-US"/>
                </w:rPr>
                <w:t xml:space="preserve">Chen, H., Tang, Q., Jiang, Y., &amp; Lin, Z. (2010). The Role of International Financial Reporting Standards in Accounting Quality: Evidence from the European Union. </w:t>
              </w:r>
              <w:r w:rsidRPr="000D53E0">
                <w:rPr>
                  <w:rFonts w:ascii="Times New Roman" w:hAnsi="Times New Roman" w:cs="Times New Roman"/>
                  <w:i/>
                  <w:iCs/>
                  <w:noProof/>
                  <w:lang w:val="en-US"/>
                </w:rPr>
                <w:t xml:space="preserve">Journal of International Financial Management and Accounting </w:t>
              </w:r>
              <w:r w:rsidRPr="000D53E0">
                <w:rPr>
                  <w:rFonts w:ascii="Times New Roman" w:hAnsi="Times New Roman" w:cs="Times New Roman"/>
                  <w:noProof/>
                  <w:lang w:val="en-US"/>
                </w:rPr>
                <w:t>, 220-278.</w:t>
              </w:r>
            </w:p>
            <w:p w14:paraId="00BD578C" w14:textId="14BF74DB" w:rsidR="00505AD5" w:rsidRDefault="00505AD5" w:rsidP="00505AD5">
              <w:pPr>
                <w:pStyle w:val="Bibliografa"/>
                <w:jc w:val="both"/>
                <w:rPr>
                  <w:rStyle w:val="Hipervnculo"/>
                  <w:rFonts w:ascii="Times New Roman" w:hAnsi="Times New Roman" w:cs="Times New Roman"/>
                  <w:noProof/>
                </w:rPr>
              </w:pPr>
              <w:r w:rsidRPr="00033A60">
                <w:rPr>
                  <w:rFonts w:ascii="Times New Roman" w:hAnsi="Times New Roman" w:cs="Times New Roman"/>
                  <w:noProof/>
                  <w:lang w:val="en-US"/>
                </w:rPr>
                <w:t xml:space="preserve">Cohen,. L., Werbin, E. M., &amp; Quadro, M. E. (2023). </w:t>
              </w:r>
              <w:r w:rsidRPr="00505AD5">
                <w:rPr>
                  <w:rFonts w:ascii="Times New Roman" w:hAnsi="Times New Roman" w:cs="Times New Roman"/>
                  <w:noProof/>
                </w:rPr>
                <w:t xml:space="preserve">La exposición de información no financiera: un estudio en bancos de Argentina. </w:t>
              </w:r>
              <w:r w:rsidRPr="00505AD5">
                <w:rPr>
                  <w:rFonts w:ascii="Times New Roman" w:hAnsi="Times New Roman" w:cs="Times New Roman"/>
                  <w:i/>
                  <w:iCs/>
                  <w:noProof/>
                </w:rPr>
                <w:t>Cuadernos Latinoamericanos de Administración</w:t>
              </w:r>
              <w:r w:rsidRPr="00505AD5">
                <w:rPr>
                  <w:rFonts w:ascii="Times New Roman" w:hAnsi="Times New Roman" w:cs="Times New Roman"/>
                  <w:noProof/>
                </w:rPr>
                <w:t xml:space="preserve">, </w:t>
              </w:r>
              <w:r w:rsidRPr="00505AD5">
                <w:rPr>
                  <w:rFonts w:ascii="Times New Roman" w:hAnsi="Times New Roman" w:cs="Times New Roman"/>
                  <w:i/>
                  <w:iCs/>
                  <w:noProof/>
                </w:rPr>
                <w:t>XIV</w:t>
              </w:r>
              <w:r w:rsidRPr="00505AD5">
                <w:rPr>
                  <w:rFonts w:ascii="Times New Roman" w:hAnsi="Times New Roman" w:cs="Times New Roman"/>
                  <w:noProof/>
                </w:rPr>
                <w:t xml:space="preserve"> (36), 1-21. https://doi.org/</w:t>
              </w:r>
              <w:hyperlink r:id="rId17" w:history="1">
                <w:r w:rsidRPr="00505AD5">
                  <w:rPr>
                    <w:rStyle w:val="Hipervnculo"/>
                    <w:rFonts w:ascii="Times New Roman" w:hAnsi="Times New Roman" w:cs="Times New Roman"/>
                    <w:noProof/>
                  </w:rPr>
                  <w:t>10.18270/cuaderlam.v19i36.4021</w:t>
                </w:r>
              </w:hyperlink>
            </w:p>
            <w:p w14:paraId="5CCEE588" w14:textId="0848728B" w:rsidR="00B30D36" w:rsidRPr="00033A60" w:rsidRDefault="00B30D36" w:rsidP="00B30D36">
              <w:pPr>
                <w:jc w:val="both"/>
                <w:rPr>
                  <w:rFonts w:ascii="Times New Roman" w:hAnsi="Times New Roman" w:cs="Times New Roman"/>
                  <w:lang w:val="en-US"/>
                </w:rPr>
              </w:pPr>
              <w:r w:rsidRPr="00033A60">
                <w:rPr>
                  <w:rFonts w:ascii="Times New Roman" w:hAnsi="Times New Roman" w:cs="Times New Roman"/>
                  <w:noProof/>
                  <w:lang w:val="es-ES"/>
                </w:rPr>
                <w:t xml:space="preserve">Dechow, P., Ge, W., &amp; Schrand, C. (2010). </w:t>
              </w:r>
              <w:r w:rsidRPr="00B30D36">
                <w:rPr>
                  <w:rFonts w:ascii="Times New Roman" w:hAnsi="Times New Roman" w:cs="Times New Roman"/>
                  <w:noProof/>
                  <w:lang w:val="en-US"/>
                </w:rPr>
                <w:t xml:space="preserve">Understanding earnings quality: A review of the proxies,their determinants and their consequences. </w:t>
              </w:r>
              <w:r w:rsidRPr="00B30D36">
                <w:rPr>
                  <w:rFonts w:ascii="Times New Roman" w:hAnsi="Times New Roman" w:cs="Times New Roman"/>
                  <w:i/>
                  <w:iCs/>
                  <w:noProof/>
                  <w:lang w:val="en-US"/>
                </w:rPr>
                <w:t>Journal of Accounting and Economics</w:t>
              </w:r>
              <w:r w:rsidRPr="00B30D36">
                <w:rPr>
                  <w:rFonts w:ascii="Times New Roman" w:hAnsi="Times New Roman" w:cs="Times New Roman"/>
                  <w:noProof/>
                  <w:lang w:val="en-US"/>
                </w:rPr>
                <w:t>, 344-401.</w:t>
              </w:r>
            </w:p>
            <w:p w14:paraId="7AD436C0" w14:textId="77777777" w:rsidR="00505AD5" w:rsidRPr="00033A60" w:rsidRDefault="00505AD5" w:rsidP="00505AD5">
              <w:pPr>
                <w:pStyle w:val="Bibliografa"/>
                <w:jc w:val="both"/>
                <w:rPr>
                  <w:rFonts w:ascii="Times New Roman" w:hAnsi="Times New Roman" w:cs="Times New Roman"/>
                  <w:noProof/>
                  <w:lang w:val="en-US"/>
                </w:rPr>
              </w:pPr>
              <w:r w:rsidRPr="00033A60">
                <w:rPr>
                  <w:rFonts w:ascii="Times New Roman" w:hAnsi="Times New Roman" w:cs="Times New Roman"/>
                  <w:noProof/>
                  <w:lang w:val="en-US"/>
                </w:rPr>
                <w:t xml:space="preserve">Dumitru, G. (2012). The Accounting Information Quality Concept. </w:t>
              </w:r>
              <w:r w:rsidRPr="00033A60">
                <w:rPr>
                  <w:rFonts w:ascii="Times New Roman" w:hAnsi="Times New Roman" w:cs="Times New Roman"/>
                  <w:i/>
                  <w:iCs/>
                  <w:noProof/>
                  <w:lang w:val="en-US"/>
                </w:rPr>
                <w:t>Economics, Management, and Financial Markets</w:t>
              </w:r>
              <w:r w:rsidRPr="00033A60">
                <w:rPr>
                  <w:rFonts w:ascii="Times New Roman" w:hAnsi="Times New Roman" w:cs="Times New Roman"/>
                  <w:noProof/>
                  <w:lang w:val="en-US"/>
                </w:rPr>
                <w:t xml:space="preserve">, 326-336. </w:t>
              </w:r>
            </w:p>
            <w:p w14:paraId="3A4559FD" w14:textId="77777777" w:rsidR="00505AD5" w:rsidRPr="00505AD5" w:rsidRDefault="00505AD5" w:rsidP="00505AD5">
              <w:pPr>
                <w:pStyle w:val="Bibliografa"/>
                <w:jc w:val="both"/>
                <w:rPr>
                  <w:rFonts w:ascii="Times New Roman" w:hAnsi="Times New Roman" w:cs="Times New Roman"/>
                  <w:noProof/>
                </w:rPr>
              </w:pPr>
              <w:r w:rsidRPr="00033A60">
                <w:rPr>
                  <w:rFonts w:ascii="Times New Roman" w:hAnsi="Times New Roman" w:cs="Times New Roman"/>
                  <w:noProof/>
                  <w:lang w:val="en-US"/>
                </w:rPr>
                <w:t xml:space="preserve">Feltham, G. A. &amp; Ohlson, J. A. (1995). Valuation and Clean Surplus Accounting for Operating and Financial Activities. </w:t>
              </w:r>
              <w:r w:rsidRPr="00505AD5">
                <w:rPr>
                  <w:rFonts w:ascii="Times New Roman" w:hAnsi="Times New Roman" w:cs="Times New Roman"/>
                  <w:i/>
                  <w:iCs/>
                  <w:noProof/>
                </w:rPr>
                <w:t>Contemporary accounting research</w:t>
              </w:r>
              <w:r w:rsidRPr="00505AD5">
                <w:rPr>
                  <w:rFonts w:ascii="Times New Roman" w:hAnsi="Times New Roman" w:cs="Times New Roman"/>
                  <w:noProof/>
                </w:rPr>
                <w:t xml:space="preserve">, </w:t>
              </w:r>
              <w:r w:rsidRPr="00505AD5">
                <w:rPr>
                  <w:rFonts w:ascii="Times New Roman" w:hAnsi="Times New Roman" w:cs="Times New Roman"/>
                  <w:i/>
                  <w:iCs/>
                  <w:noProof/>
                </w:rPr>
                <w:t>11</w:t>
              </w:r>
              <w:r w:rsidRPr="00505AD5">
                <w:rPr>
                  <w:rFonts w:ascii="Times New Roman" w:hAnsi="Times New Roman" w:cs="Times New Roman"/>
                  <w:noProof/>
                </w:rPr>
                <w:t xml:space="preserve"> (2), 689-731. </w:t>
              </w:r>
            </w:p>
            <w:p w14:paraId="2170D790" w14:textId="77777777" w:rsidR="00505AD5" w:rsidRPr="00033A60" w:rsidRDefault="00505AD5" w:rsidP="00505AD5">
              <w:pPr>
                <w:pStyle w:val="Bibliografa"/>
                <w:jc w:val="both"/>
                <w:rPr>
                  <w:rFonts w:ascii="Times New Roman" w:hAnsi="Times New Roman" w:cs="Times New Roman"/>
                  <w:noProof/>
                  <w:lang w:val="en-US"/>
                </w:rPr>
              </w:pPr>
              <w:r w:rsidRPr="00505AD5">
                <w:rPr>
                  <w:rFonts w:ascii="Times New Roman" w:hAnsi="Times New Roman" w:cs="Times New Roman"/>
                  <w:noProof/>
                </w:rPr>
                <w:t xml:space="preserve">Giner Inchausti, B. &amp; Iñiguez Sánchez, R. (2006). Aplicación de los modelos de Fetham-Ohlson a la valoración de activos en el mercado español. </w:t>
              </w:r>
              <w:r w:rsidRPr="00033A60">
                <w:rPr>
                  <w:rFonts w:ascii="Times New Roman" w:hAnsi="Times New Roman" w:cs="Times New Roman"/>
                  <w:i/>
                  <w:iCs/>
                  <w:noProof/>
                  <w:lang w:val="en-US"/>
                </w:rPr>
                <w:t>Economía Financiera</w:t>
              </w:r>
              <w:r w:rsidRPr="00033A60">
                <w:rPr>
                  <w:rFonts w:ascii="Times New Roman" w:hAnsi="Times New Roman" w:cs="Times New Roman"/>
                  <w:noProof/>
                  <w:lang w:val="en-US"/>
                </w:rPr>
                <w:t xml:space="preserve">, </w:t>
              </w:r>
              <w:r w:rsidRPr="00033A60">
                <w:rPr>
                  <w:rFonts w:ascii="Times New Roman" w:hAnsi="Times New Roman" w:cs="Times New Roman"/>
                  <w:i/>
                  <w:iCs/>
                  <w:noProof/>
                  <w:lang w:val="en-US"/>
                </w:rPr>
                <w:t>35</w:t>
              </w:r>
              <w:r w:rsidRPr="00033A60">
                <w:rPr>
                  <w:rFonts w:ascii="Times New Roman" w:hAnsi="Times New Roman" w:cs="Times New Roman"/>
                  <w:noProof/>
                  <w:lang w:val="en-US"/>
                </w:rPr>
                <w:t xml:space="preserve"> (132), 729-759. </w:t>
              </w:r>
            </w:p>
            <w:p w14:paraId="7851E9DC" w14:textId="177E9C79" w:rsidR="00822EED" w:rsidRDefault="00822EED" w:rsidP="00822EED">
              <w:pPr>
                <w:pStyle w:val="Bibliografa"/>
                <w:spacing w:after="120" w:line="240" w:lineRule="auto"/>
                <w:jc w:val="both"/>
                <w:rPr>
                  <w:rFonts w:ascii="Arial" w:hAnsi="Arial" w:cs="Arial"/>
                  <w:noProof/>
                  <w:sz w:val="20"/>
                  <w:szCs w:val="20"/>
                  <w:lang w:val="en-US"/>
                </w:rPr>
              </w:pPr>
              <w:r w:rsidRPr="00033A60">
                <w:rPr>
                  <w:rFonts w:ascii="Times New Roman" w:hAnsi="Times New Roman" w:cs="Times New Roman"/>
                  <w:noProof/>
                  <w:lang w:val="en-US"/>
                </w:rPr>
                <w:t xml:space="preserve">Hail, L., Leuz, C., &amp; Wysocki, P. (2010). Global Accounting Convergence and the Potencial Adoption of IFRS by the U.S. </w:t>
              </w:r>
              <w:r w:rsidRPr="00E60D89">
                <w:rPr>
                  <w:rFonts w:ascii="Arial" w:hAnsi="Arial" w:cs="Arial"/>
                  <w:noProof/>
                  <w:sz w:val="20"/>
                  <w:szCs w:val="20"/>
                  <w:lang w:val="en-US"/>
                </w:rPr>
                <w:t xml:space="preserve">(Part I): Conceptual Underpinnings and Economic Analysis. </w:t>
              </w:r>
              <w:r w:rsidRPr="00E60D89">
                <w:rPr>
                  <w:rFonts w:ascii="Arial" w:hAnsi="Arial" w:cs="Arial"/>
                  <w:i/>
                  <w:iCs/>
                  <w:noProof/>
                  <w:sz w:val="20"/>
                  <w:szCs w:val="20"/>
                  <w:lang w:val="en-US"/>
                </w:rPr>
                <w:t>Accounting Horizons</w:t>
              </w:r>
              <w:r w:rsidRPr="00E60D89">
                <w:rPr>
                  <w:rFonts w:ascii="Arial" w:hAnsi="Arial" w:cs="Arial"/>
                  <w:noProof/>
                  <w:sz w:val="20"/>
                  <w:szCs w:val="20"/>
                  <w:lang w:val="en-US"/>
                </w:rPr>
                <w:t>, 355-394.</w:t>
              </w:r>
            </w:p>
            <w:p w14:paraId="1E56ABA8" w14:textId="7E041515" w:rsidR="0027490A" w:rsidRDefault="0027490A" w:rsidP="0027490A">
              <w:pPr>
                <w:jc w:val="both"/>
                <w:rPr>
                  <w:rFonts w:ascii="Times New Roman" w:hAnsi="Times New Roman" w:cs="Times New Roman"/>
                  <w:noProof/>
                  <w:lang w:val="en-US"/>
                </w:rPr>
              </w:pPr>
              <w:r w:rsidRPr="0027490A">
                <w:rPr>
                  <w:rFonts w:ascii="Times New Roman" w:hAnsi="Times New Roman" w:cs="Times New Roman"/>
                  <w:noProof/>
                  <w:lang w:val="en-US"/>
                </w:rPr>
                <w:t xml:space="preserve">Hribar , P., Kravet, T., &amp; Wilson, R. (2014). A new measure of accounting quality. </w:t>
              </w:r>
              <w:r w:rsidRPr="0027490A">
                <w:rPr>
                  <w:rFonts w:ascii="Times New Roman" w:hAnsi="Times New Roman" w:cs="Times New Roman"/>
                  <w:i/>
                  <w:iCs/>
                  <w:noProof/>
                  <w:lang w:val="en-US"/>
                </w:rPr>
                <w:t>Review of Accounting Studies</w:t>
              </w:r>
              <w:r w:rsidRPr="0027490A">
                <w:rPr>
                  <w:rFonts w:ascii="Times New Roman" w:hAnsi="Times New Roman" w:cs="Times New Roman"/>
                  <w:noProof/>
                  <w:lang w:val="en-US"/>
                </w:rPr>
                <w:t>, 506-538.</w:t>
              </w:r>
            </w:p>
            <w:p w14:paraId="2263CD7E" w14:textId="77777777" w:rsidR="00503243" w:rsidRPr="00033A60" w:rsidRDefault="00503243" w:rsidP="00503243">
              <w:pPr>
                <w:pStyle w:val="Bibliografa"/>
                <w:rPr>
                  <w:rFonts w:ascii="Times New Roman" w:hAnsi="Times New Roman" w:cs="Times New Roman"/>
                  <w:noProof/>
                  <w:lang w:val="en-US"/>
                </w:rPr>
              </w:pPr>
              <w:r w:rsidRPr="00033A60">
                <w:rPr>
                  <w:rFonts w:ascii="Times New Roman" w:hAnsi="Times New Roman" w:cs="Times New Roman"/>
                  <w:noProof/>
                  <w:lang w:val="en-US"/>
                </w:rPr>
                <w:t xml:space="preserve">Imhoff, E. A. &amp; Thomas, J. K. (1989). </w:t>
              </w:r>
              <w:r w:rsidRPr="00033A60">
                <w:rPr>
                  <w:rFonts w:ascii="Times New Roman" w:hAnsi="Times New Roman" w:cs="Times New Roman"/>
                  <w:i/>
                  <w:iCs/>
                  <w:noProof/>
                  <w:lang w:val="en-US"/>
                </w:rPr>
                <w:t>Accounting quality</w:t>
              </w:r>
              <w:r w:rsidRPr="00033A60">
                <w:rPr>
                  <w:rFonts w:ascii="Times New Roman" w:hAnsi="Times New Roman" w:cs="Times New Roman"/>
                  <w:noProof/>
                  <w:lang w:val="en-US"/>
                </w:rPr>
                <w:t>. University of Michigan.</w:t>
              </w:r>
            </w:p>
            <w:p w14:paraId="24D078F0" w14:textId="77777777" w:rsidR="00505AD5" w:rsidRPr="00033A60" w:rsidRDefault="00505AD5" w:rsidP="00505AD5">
              <w:pPr>
                <w:pStyle w:val="Bibliografa"/>
                <w:jc w:val="both"/>
                <w:rPr>
                  <w:rFonts w:ascii="Times New Roman" w:hAnsi="Times New Roman" w:cs="Times New Roman"/>
                  <w:noProof/>
                  <w:lang w:val="en-US"/>
                </w:rPr>
              </w:pPr>
              <w:r w:rsidRPr="00505AD5">
                <w:rPr>
                  <w:rFonts w:ascii="Times New Roman" w:hAnsi="Times New Roman" w:cs="Times New Roman"/>
                  <w:noProof/>
                </w:rPr>
                <w:t xml:space="preserve">Marques, M. T., Dalmacio, F. Z., &amp; Rezende, A. J. (2022). IFRS X Bacen Gaap: Value Relevance das Informações Contábeis das Instituições Financeiras do Brasil. </w:t>
              </w:r>
              <w:r w:rsidRPr="00033A60">
                <w:rPr>
                  <w:rFonts w:ascii="Times New Roman" w:hAnsi="Times New Roman" w:cs="Times New Roman"/>
                  <w:i/>
                  <w:iCs/>
                  <w:noProof/>
                  <w:lang w:val="en-US"/>
                </w:rPr>
                <w:t>BBR. Brazilian Business Review</w:t>
              </w:r>
              <w:r w:rsidRPr="00033A60">
                <w:rPr>
                  <w:rFonts w:ascii="Times New Roman" w:hAnsi="Times New Roman" w:cs="Times New Roman"/>
                  <w:noProof/>
                  <w:lang w:val="en-US"/>
                </w:rPr>
                <w:t xml:space="preserve">, 1-19. </w:t>
              </w:r>
            </w:p>
            <w:p w14:paraId="6CBC601C" w14:textId="4F1A20C7" w:rsidR="00505AD5" w:rsidRPr="00505AD5" w:rsidRDefault="00505AD5" w:rsidP="00505AD5">
              <w:pPr>
                <w:pStyle w:val="Bibliografa"/>
                <w:jc w:val="both"/>
                <w:rPr>
                  <w:rFonts w:ascii="Times New Roman" w:hAnsi="Times New Roman" w:cs="Times New Roman"/>
                  <w:noProof/>
                </w:rPr>
              </w:pPr>
              <w:r w:rsidRPr="00033A60">
                <w:rPr>
                  <w:rFonts w:ascii="Times New Roman" w:hAnsi="Times New Roman" w:cs="Times New Roman"/>
                  <w:noProof/>
                  <w:lang w:val="en-US"/>
                </w:rPr>
                <w:t xml:space="preserve">Mazzioni, S. &amp; Klann, R. (2018). Aspects of the quality of accounting in the international context. </w:t>
              </w:r>
              <w:r w:rsidRPr="00505AD5">
                <w:rPr>
                  <w:rFonts w:ascii="Times New Roman" w:hAnsi="Times New Roman" w:cs="Times New Roman"/>
                  <w:i/>
                  <w:iCs/>
                  <w:noProof/>
                </w:rPr>
                <w:t>Revista Brasileira de Gestao de Negocios</w:t>
              </w:r>
              <w:r w:rsidRPr="00505AD5">
                <w:rPr>
                  <w:rFonts w:ascii="Times New Roman" w:hAnsi="Times New Roman" w:cs="Times New Roman"/>
                  <w:noProof/>
                </w:rPr>
                <w:t xml:space="preserve">, </w:t>
              </w:r>
              <w:r w:rsidRPr="00505AD5">
                <w:rPr>
                  <w:rFonts w:ascii="Times New Roman" w:hAnsi="Times New Roman" w:cs="Times New Roman"/>
                  <w:i/>
                  <w:iCs/>
                  <w:noProof/>
                </w:rPr>
                <w:t>20</w:t>
              </w:r>
              <w:r w:rsidRPr="00505AD5">
                <w:rPr>
                  <w:rFonts w:ascii="Times New Roman" w:hAnsi="Times New Roman" w:cs="Times New Roman"/>
                  <w:noProof/>
                </w:rPr>
                <w:t xml:space="preserve"> (1), 92-111. https://doi.org/</w:t>
              </w:r>
              <w:hyperlink r:id="rId18" w:history="1">
                <w:r w:rsidRPr="00505AD5">
                  <w:rPr>
                    <w:rStyle w:val="Hipervnculo"/>
                    <w:rFonts w:ascii="Times New Roman" w:hAnsi="Times New Roman" w:cs="Times New Roman"/>
                    <w:noProof/>
                  </w:rPr>
                  <w:t>10.7819/rbgn.v20i1.2630</w:t>
                </w:r>
              </w:hyperlink>
            </w:p>
            <w:p w14:paraId="11BFF29C" w14:textId="01D401BC" w:rsidR="00505AD5" w:rsidRPr="00033A60" w:rsidRDefault="00505AD5" w:rsidP="00505AD5">
              <w:pPr>
                <w:pStyle w:val="Bibliografa"/>
                <w:jc w:val="both"/>
                <w:rPr>
                  <w:rFonts w:ascii="Times New Roman" w:hAnsi="Times New Roman" w:cs="Times New Roman"/>
                  <w:noProof/>
                  <w:lang w:val="en-US"/>
                </w:rPr>
              </w:pPr>
              <w:r w:rsidRPr="00505AD5">
                <w:rPr>
                  <w:rFonts w:ascii="Times New Roman" w:hAnsi="Times New Roman" w:cs="Times New Roman"/>
                  <w:noProof/>
                </w:rPr>
                <w:t xml:space="preserve">Morais, A., Fialho, A., &amp; Dionisio, A. (2018). </w:t>
              </w:r>
              <w:r w:rsidRPr="00033A60">
                <w:rPr>
                  <w:rFonts w:ascii="Times New Roman" w:hAnsi="Times New Roman" w:cs="Times New Roman"/>
                  <w:noProof/>
                  <w:lang w:val="en-US"/>
                </w:rPr>
                <w:t xml:space="preserve">Is the accounting quality after the mandatory adoption of IFRS a random walk? Evidence from Europe. </w:t>
              </w:r>
              <w:r w:rsidRPr="00033A60">
                <w:rPr>
                  <w:rFonts w:ascii="Times New Roman" w:hAnsi="Times New Roman" w:cs="Times New Roman"/>
                  <w:i/>
                  <w:iCs/>
                  <w:noProof/>
                  <w:lang w:val="en-US"/>
                </w:rPr>
                <w:t>Journal of Applied Accounting Research</w:t>
              </w:r>
              <w:r w:rsidRPr="00033A60">
                <w:rPr>
                  <w:rFonts w:ascii="Times New Roman" w:hAnsi="Times New Roman" w:cs="Times New Roman"/>
                  <w:noProof/>
                  <w:lang w:val="en-US"/>
                </w:rPr>
                <w:t xml:space="preserve">, </w:t>
              </w:r>
              <w:r w:rsidRPr="00033A60">
                <w:rPr>
                  <w:rFonts w:ascii="Times New Roman" w:hAnsi="Times New Roman" w:cs="Times New Roman"/>
                  <w:i/>
                  <w:iCs/>
                  <w:noProof/>
                  <w:lang w:val="en-US"/>
                </w:rPr>
                <w:t>19</w:t>
              </w:r>
              <w:r w:rsidRPr="00033A60">
                <w:rPr>
                  <w:rFonts w:ascii="Times New Roman" w:hAnsi="Times New Roman" w:cs="Times New Roman"/>
                  <w:noProof/>
                  <w:lang w:val="en-US"/>
                </w:rPr>
                <w:t xml:space="preserve"> (3), 334-350. https://doi.org/</w:t>
              </w:r>
              <w:hyperlink r:id="rId19" w:history="1">
                <w:r w:rsidRPr="00033A60">
                  <w:rPr>
                    <w:rStyle w:val="Hipervnculo"/>
                    <w:rFonts w:ascii="Times New Roman" w:hAnsi="Times New Roman" w:cs="Times New Roman"/>
                    <w:noProof/>
                    <w:lang w:val="en-US"/>
                  </w:rPr>
                  <w:t>10.1108/JAAR-07-2016-0073</w:t>
                </w:r>
              </w:hyperlink>
            </w:p>
            <w:p w14:paraId="0BCAF576" w14:textId="77777777" w:rsidR="00505AD5" w:rsidRPr="00033A60" w:rsidRDefault="00505AD5" w:rsidP="00505AD5">
              <w:pPr>
                <w:pStyle w:val="Bibliografa"/>
                <w:jc w:val="both"/>
                <w:rPr>
                  <w:rFonts w:ascii="Times New Roman" w:hAnsi="Times New Roman" w:cs="Times New Roman"/>
                  <w:noProof/>
                  <w:lang w:val="en-US"/>
                </w:rPr>
              </w:pPr>
              <w:r w:rsidRPr="00033A60">
                <w:rPr>
                  <w:rFonts w:ascii="Times New Roman" w:hAnsi="Times New Roman" w:cs="Times New Roman"/>
                  <w:noProof/>
                  <w:lang w:val="en-US"/>
                </w:rPr>
                <w:t xml:space="preserve">Ohlson, J. A. (1995). Earnings, Book Values, and Dividends in Equity Valuation. </w:t>
              </w:r>
              <w:r w:rsidRPr="00033A60">
                <w:rPr>
                  <w:rFonts w:ascii="Times New Roman" w:hAnsi="Times New Roman" w:cs="Times New Roman"/>
                  <w:i/>
                  <w:iCs/>
                  <w:noProof/>
                  <w:lang w:val="en-US"/>
                </w:rPr>
                <w:t>Contemporany Accounting Research</w:t>
              </w:r>
              <w:r w:rsidRPr="00033A60">
                <w:rPr>
                  <w:rFonts w:ascii="Times New Roman" w:hAnsi="Times New Roman" w:cs="Times New Roman"/>
                  <w:noProof/>
                  <w:lang w:val="en-US"/>
                </w:rPr>
                <w:t xml:space="preserve">, </w:t>
              </w:r>
              <w:r w:rsidRPr="00033A60">
                <w:rPr>
                  <w:rFonts w:ascii="Times New Roman" w:hAnsi="Times New Roman" w:cs="Times New Roman"/>
                  <w:i/>
                  <w:iCs/>
                  <w:noProof/>
                  <w:lang w:val="en-US"/>
                </w:rPr>
                <w:t>11</w:t>
              </w:r>
              <w:r w:rsidRPr="00033A60">
                <w:rPr>
                  <w:rFonts w:ascii="Times New Roman" w:hAnsi="Times New Roman" w:cs="Times New Roman"/>
                  <w:noProof/>
                  <w:lang w:val="en-US"/>
                </w:rPr>
                <w:t xml:space="preserve"> (2), 661-687. </w:t>
              </w:r>
            </w:p>
            <w:p w14:paraId="6A6F8AD2" w14:textId="327CEF93" w:rsidR="00505AD5" w:rsidRPr="00505AD5" w:rsidRDefault="00505AD5" w:rsidP="00505AD5">
              <w:pPr>
                <w:pStyle w:val="Bibliografa"/>
                <w:jc w:val="both"/>
                <w:rPr>
                  <w:rFonts w:ascii="Times New Roman" w:hAnsi="Times New Roman" w:cs="Times New Roman"/>
                  <w:noProof/>
                </w:rPr>
              </w:pPr>
              <w:r w:rsidRPr="00033A60">
                <w:rPr>
                  <w:rFonts w:ascii="Times New Roman" w:hAnsi="Times New Roman" w:cs="Times New Roman"/>
                  <w:noProof/>
                  <w:lang w:val="en-US"/>
                </w:rPr>
                <w:t xml:space="preserve">Pacheco-Ortiz, D. M., Rendón-García, J. F., &amp; Villada-Medina, H. D. (2021). THE EFFECT OF IFRS ADOPTION ON THE VALUE RELEVANCE OF ACCOUNTING. </w:t>
              </w:r>
              <w:r w:rsidRPr="00505AD5">
                <w:rPr>
                  <w:rFonts w:ascii="Times New Roman" w:hAnsi="Times New Roman" w:cs="Times New Roman"/>
                  <w:i/>
                  <w:iCs/>
                  <w:noProof/>
                </w:rPr>
                <w:t>Revista Electrónica de Comunicaciones y Trabajos de ASEPUMA</w:t>
              </w:r>
              <w:r w:rsidRPr="00505AD5">
                <w:rPr>
                  <w:rFonts w:ascii="Times New Roman" w:hAnsi="Times New Roman" w:cs="Times New Roman"/>
                  <w:noProof/>
                </w:rPr>
                <w:t xml:space="preserve">, </w:t>
              </w:r>
              <w:r w:rsidRPr="00505AD5">
                <w:rPr>
                  <w:rFonts w:ascii="Times New Roman" w:hAnsi="Times New Roman" w:cs="Times New Roman"/>
                  <w:i/>
                  <w:iCs/>
                  <w:noProof/>
                </w:rPr>
                <w:t>22</w:t>
              </w:r>
              <w:r w:rsidRPr="00505AD5">
                <w:rPr>
                  <w:rFonts w:ascii="Times New Roman" w:hAnsi="Times New Roman" w:cs="Times New Roman"/>
                  <w:noProof/>
                </w:rPr>
                <w:t>, 77-90. https://doi.org/</w:t>
              </w:r>
              <w:hyperlink r:id="rId20" w:history="1">
                <w:r w:rsidRPr="00505AD5">
                  <w:rPr>
                    <w:rStyle w:val="Hipervnculo"/>
                    <w:rFonts w:ascii="Times New Roman" w:hAnsi="Times New Roman" w:cs="Times New Roman"/>
                    <w:noProof/>
                  </w:rPr>
                  <w:t>10.24309/recta.2021.22.2.03</w:t>
                </w:r>
              </w:hyperlink>
            </w:p>
            <w:p w14:paraId="542D7EEB" w14:textId="77777777" w:rsidR="00505AD5" w:rsidRDefault="00505AD5" w:rsidP="00505AD5">
              <w:pPr>
                <w:pStyle w:val="Bibliografa"/>
                <w:jc w:val="both"/>
                <w:rPr>
                  <w:rFonts w:ascii="Times New Roman" w:hAnsi="Times New Roman" w:cs="Times New Roman"/>
                  <w:noProof/>
                </w:rPr>
              </w:pPr>
              <w:r w:rsidRPr="00505AD5">
                <w:rPr>
                  <w:rFonts w:ascii="Times New Roman" w:hAnsi="Times New Roman" w:cs="Times New Roman"/>
                  <w:noProof/>
                </w:rPr>
                <w:t xml:space="preserve">Pineda González, C. (2000). Determinantes de la Calidad del Resultado. </w:t>
              </w:r>
              <w:r w:rsidRPr="00505AD5">
                <w:rPr>
                  <w:rFonts w:ascii="Times New Roman" w:hAnsi="Times New Roman" w:cs="Times New Roman"/>
                  <w:i/>
                  <w:iCs/>
                  <w:noProof/>
                </w:rPr>
                <w:t>Revista de Contabilidad</w:t>
              </w:r>
              <w:r w:rsidRPr="00505AD5">
                <w:rPr>
                  <w:rFonts w:ascii="Times New Roman" w:hAnsi="Times New Roman" w:cs="Times New Roman"/>
                  <w:noProof/>
                </w:rPr>
                <w:t xml:space="preserve">, </w:t>
              </w:r>
              <w:r w:rsidRPr="00505AD5">
                <w:rPr>
                  <w:rFonts w:ascii="Times New Roman" w:hAnsi="Times New Roman" w:cs="Times New Roman"/>
                  <w:i/>
                  <w:iCs/>
                  <w:noProof/>
                </w:rPr>
                <w:t>3</w:t>
              </w:r>
              <w:r w:rsidRPr="00505AD5">
                <w:rPr>
                  <w:rFonts w:ascii="Times New Roman" w:hAnsi="Times New Roman" w:cs="Times New Roman"/>
                  <w:noProof/>
                </w:rPr>
                <w:t xml:space="preserve"> (5), 149-182. </w:t>
              </w:r>
            </w:p>
            <w:p w14:paraId="17AAAA01" w14:textId="10C306A5" w:rsidR="00660031" w:rsidRPr="00033A60" w:rsidRDefault="00660031" w:rsidP="00660031">
              <w:pPr>
                <w:pStyle w:val="Bibliografa"/>
                <w:spacing w:after="120" w:line="240" w:lineRule="auto"/>
                <w:jc w:val="both"/>
                <w:rPr>
                  <w:rFonts w:ascii="Times New Roman" w:hAnsi="Times New Roman" w:cs="Times New Roman"/>
                  <w:noProof/>
                  <w:lang w:val="es-ES"/>
                </w:rPr>
              </w:pPr>
              <w:r w:rsidRPr="00660031">
                <w:rPr>
                  <w:rFonts w:ascii="Times New Roman" w:hAnsi="Times New Roman" w:cs="Times New Roman"/>
                  <w:noProof/>
                </w:rPr>
                <w:lastRenderedPageBreak/>
                <w:t xml:space="preserve">Sánchez, H. HG., Alejandro, K. AC., Sáenz, A. BM., &amp; García, Md. PR. (2017). Efecto en la calidad de la información ante cambios en la normatividad contable: caso aplicado al sector real mexicano. </w:t>
              </w:r>
              <w:r w:rsidRPr="00033A60">
                <w:rPr>
                  <w:rFonts w:ascii="Times New Roman" w:hAnsi="Times New Roman" w:cs="Times New Roman"/>
                  <w:i/>
                  <w:iCs/>
                  <w:noProof/>
                  <w:lang w:val="es-ES"/>
                </w:rPr>
                <w:t>Contaduría y Administración</w:t>
              </w:r>
              <w:r w:rsidRPr="00033A60">
                <w:rPr>
                  <w:rFonts w:ascii="Times New Roman" w:hAnsi="Times New Roman" w:cs="Times New Roman"/>
                  <w:noProof/>
                  <w:lang w:val="es-ES"/>
                </w:rPr>
                <w:t xml:space="preserve">, </w:t>
              </w:r>
              <w:r w:rsidRPr="00033A60">
                <w:rPr>
                  <w:rFonts w:ascii="Times New Roman" w:hAnsi="Times New Roman" w:cs="Times New Roman"/>
                  <w:i/>
                  <w:iCs/>
                  <w:noProof/>
                  <w:lang w:val="es-ES"/>
                </w:rPr>
                <w:t>62</w:t>
              </w:r>
              <w:r w:rsidRPr="00033A60">
                <w:rPr>
                  <w:rFonts w:ascii="Times New Roman" w:hAnsi="Times New Roman" w:cs="Times New Roman"/>
                  <w:noProof/>
                  <w:lang w:val="es-ES"/>
                </w:rPr>
                <w:t xml:space="preserve"> (3), 746-760. https://doi.org/</w:t>
              </w:r>
              <w:hyperlink r:id="rId21" w:history="1">
                <w:r w:rsidRPr="00033A60">
                  <w:rPr>
                    <w:rStyle w:val="Hipervnculo"/>
                    <w:rFonts w:ascii="Times New Roman" w:hAnsi="Times New Roman" w:cs="Times New Roman"/>
                    <w:noProof/>
                    <w:lang w:val="es-ES"/>
                  </w:rPr>
                  <w:t>10.1016/j.cya.2015.11.012</w:t>
                </w:r>
              </w:hyperlink>
            </w:p>
            <w:p w14:paraId="706AD509" w14:textId="039EBBF2" w:rsidR="00505AD5" w:rsidRPr="00033A60" w:rsidRDefault="00505AD5" w:rsidP="00505AD5">
              <w:pPr>
                <w:pStyle w:val="Bibliografa"/>
                <w:jc w:val="both"/>
                <w:rPr>
                  <w:rFonts w:ascii="Times New Roman" w:hAnsi="Times New Roman" w:cs="Times New Roman"/>
                  <w:noProof/>
                  <w:lang w:val="en-US"/>
                </w:rPr>
              </w:pPr>
              <w:r w:rsidRPr="00505AD5">
                <w:rPr>
                  <w:rFonts w:ascii="Times New Roman" w:hAnsi="Times New Roman" w:cs="Times New Roman"/>
                  <w:noProof/>
                </w:rPr>
                <w:t xml:space="preserve">Shehzad, K. &amp; Ismail, A. (2014). </w:t>
              </w:r>
              <w:r w:rsidRPr="00033A60">
                <w:rPr>
                  <w:rFonts w:ascii="Times New Roman" w:hAnsi="Times New Roman" w:cs="Times New Roman"/>
                  <w:noProof/>
                  <w:lang w:val="en-US"/>
                </w:rPr>
                <w:t xml:space="preserve">Value relevance of accounting information and its impact on stock prices: Case study of listed banks at Karachi Stock Exchange. </w:t>
              </w:r>
              <w:r w:rsidRPr="00033A60">
                <w:rPr>
                  <w:rFonts w:ascii="Times New Roman" w:hAnsi="Times New Roman" w:cs="Times New Roman"/>
                  <w:i/>
                  <w:iCs/>
                  <w:noProof/>
                  <w:lang w:val="en-US"/>
                </w:rPr>
                <w:t>Journal of Economic Info</w:t>
              </w:r>
              <w:r w:rsidRPr="00033A60">
                <w:rPr>
                  <w:rFonts w:ascii="Times New Roman" w:hAnsi="Times New Roman" w:cs="Times New Roman"/>
                  <w:noProof/>
                  <w:lang w:val="en-US"/>
                </w:rPr>
                <w:t xml:space="preserve">, </w:t>
              </w:r>
              <w:r w:rsidRPr="00033A60">
                <w:rPr>
                  <w:rFonts w:ascii="Times New Roman" w:hAnsi="Times New Roman" w:cs="Times New Roman"/>
                  <w:i/>
                  <w:iCs/>
                  <w:noProof/>
                  <w:lang w:val="en-US"/>
                </w:rPr>
                <w:t>1</w:t>
              </w:r>
              <w:r w:rsidRPr="00033A60">
                <w:rPr>
                  <w:rFonts w:ascii="Times New Roman" w:hAnsi="Times New Roman" w:cs="Times New Roman"/>
                  <w:noProof/>
                  <w:lang w:val="en-US"/>
                </w:rPr>
                <w:t xml:space="preserve"> (3), 78-81. https://doi.org/</w:t>
              </w:r>
              <w:hyperlink r:id="rId22" w:history="1">
                <w:r w:rsidRPr="00033A60">
                  <w:rPr>
                    <w:rStyle w:val="Hipervnculo"/>
                    <w:rFonts w:ascii="Times New Roman" w:hAnsi="Times New Roman" w:cs="Times New Roman"/>
                    <w:noProof/>
                    <w:lang w:val="en-US"/>
                  </w:rPr>
                  <w:t>10.31580/jei.v1i3.109</w:t>
                </w:r>
              </w:hyperlink>
            </w:p>
            <w:p w14:paraId="4D7BA80A" w14:textId="5E99DF8F" w:rsidR="00505AD5" w:rsidRPr="00033A60" w:rsidRDefault="00505AD5" w:rsidP="00505AD5">
              <w:pPr>
                <w:pStyle w:val="Bibliografa"/>
                <w:jc w:val="both"/>
                <w:rPr>
                  <w:rStyle w:val="Hipervnculo"/>
                  <w:rFonts w:ascii="Times New Roman" w:hAnsi="Times New Roman" w:cs="Times New Roman"/>
                  <w:noProof/>
                  <w:lang w:val="en-US"/>
                </w:rPr>
              </w:pPr>
              <w:r w:rsidRPr="00033A60">
                <w:rPr>
                  <w:rFonts w:ascii="Times New Roman" w:hAnsi="Times New Roman" w:cs="Times New Roman"/>
                  <w:noProof/>
                  <w:lang w:val="en-US"/>
                </w:rPr>
                <w:t xml:space="preserve">Trabelsi,. S. &amp; Trabelsi, M. (2014). The Value Relevance of IFRS in the UAE Banking Industry: Empirical Evidence from Dubai Financial Market, 2008-2013. </w:t>
              </w:r>
              <w:r w:rsidRPr="00033A60">
                <w:rPr>
                  <w:rFonts w:ascii="Times New Roman" w:hAnsi="Times New Roman" w:cs="Times New Roman"/>
                  <w:i/>
                  <w:iCs/>
                  <w:noProof/>
                  <w:lang w:val="en-US"/>
                </w:rPr>
                <w:t>nternational Journal of Academic Research in Accounting, Finance and Management Sciences</w:t>
              </w:r>
              <w:r w:rsidRPr="00033A60">
                <w:rPr>
                  <w:rFonts w:ascii="Times New Roman" w:hAnsi="Times New Roman" w:cs="Times New Roman"/>
                  <w:noProof/>
                  <w:lang w:val="en-US"/>
                </w:rPr>
                <w:t xml:space="preserve">, </w:t>
              </w:r>
              <w:r w:rsidRPr="00033A60">
                <w:rPr>
                  <w:rFonts w:ascii="Times New Roman" w:hAnsi="Times New Roman" w:cs="Times New Roman"/>
                  <w:i/>
                  <w:iCs/>
                  <w:noProof/>
                  <w:lang w:val="en-US"/>
                </w:rPr>
                <w:t>4</w:t>
              </w:r>
              <w:r w:rsidRPr="00033A60">
                <w:rPr>
                  <w:rFonts w:ascii="Times New Roman" w:hAnsi="Times New Roman" w:cs="Times New Roman"/>
                  <w:noProof/>
                  <w:lang w:val="en-US"/>
                </w:rPr>
                <w:t xml:space="preserve"> (4), 60–71. https://doi.org/</w:t>
              </w:r>
              <w:hyperlink r:id="rId23" w:history="1">
                <w:r w:rsidRPr="00033A60">
                  <w:rPr>
                    <w:rStyle w:val="Hipervnculo"/>
                    <w:rFonts w:ascii="Times New Roman" w:hAnsi="Times New Roman" w:cs="Times New Roman"/>
                    <w:noProof/>
                    <w:lang w:val="en-US"/>
                  </w:rPr>
                  <w:t>10.6007/IJARAFMS/v4-i4/1241</w:t>
                </w:r>
              </w:hyperlink>
            </w:p>
            <w:p w14:paraId="2C67233C" w14:textId="77777777" w:rsidR="00660031" w:rsidRPr="00033A60" w:rsidRDefault="00660031" w:rsidP="00660031">
              <w:pPr>
                <w:pStyle w:val="Bibliografa"/>
                <w:spacing w:after="120" w:line="240" w:lineRule="auto"/>
                <w:jc w:val="both"/>
                <w:rPr>
                  <w:rFonts w:ascii="Arial" w:hAnsi="Arial" w:cs="Arial"/>
                  <w:noProof/>
                  <w:sz w:val="20"/>
                  <w:szCs w:val="20"/>
                  <w:lang w:val="es-ES"/>
                </w:rPr>
              </w:pPr>
              <w:r w:rsidRPr="00660031">
                <w:rPr>
                  <w:rFonts w:ascii="Times New Roman" w:hAnsi="Times New Roman" w:cs="Times New Roman"/>
                  <w:noProof/>
                  <w:lang w:val="en-US"/>
                </w:rPr>
                <w:t xml:space="preserve">Yoon, S. (2007). </w:t>
              </w:r>
              <w:r w:rsidRPr="00660031">
                <w:rPr>
                  <w:rFonts w:ascii="Times New Roman" w:hAnsi="Times New Roman" w:cs="Times New Roman"/>
                  <w:i/>
                  <w:iCs/>
                  <w:noProof/>
                  <w:lang w:val="en-US"/>
                </w:rPr>
                <w:t>Accounting Quality and International Accounting Convergence</w:t>
              </w:r>
              <w:r w:rsidRPr="00660031">
                <w:rPr>
                  <w:rFonts w:ascii="Times New Roman" w:hAnsi="Times New Roman" w:cs="Times New Roman"/>
                  <w:noProof/>
                  <w:lang w:val="en-US"/>
                </w:rPr>
                <w:t xml:space="preserve">. </w:t>
              </w:r>
              <w:r w:rsidRPr="00033A60">
                <w:rPr>
                  <w:rFonts w:ascii="Times New Roman" w:hAnsi="Times New Roman" w:cs="Times New Roman"/>
                  <w:noProof/>
                  <w:lang w:val="es-ES"/>
                </w:rPr>
                <w:t>Oklahoma State University</w:t>
              </w:r>
              <w:r w:rsidRPr="00033A60">
                <w:rPr>
                  <w:rFonts w:ascii="Arial" w:hAnsi="Arial" w:cs="Arial"/>
                  <w:noProof/>
                  <w:sz w:val="20"/>
                  <w:szCs w:val="20"/>
                  <w:lang w:val="es-ES"/>
                </w:rPr>
                <w:t>.</w:t>
              </w:r>
            </w:p>
            <w:p w14:paraId="0450D77A" w14:textId="65B41AD4" w:rsidR="00660031" w:rsidRPr="00C00340" w:rsidRDefault="00C00340" w:rsidP="00C00340">
              <w:pPr>
                <w:jc w:val="both"/>
                <w:rPr>
                  <w:rFonts w:ascii="Times New Roman" w:hAnsi="Times New Roman" w:cs="Times New Roman"/>
                </w:rPr>
              </w:pPr>
              <w:r w:rsidRPr="00033A60">
                <w:rPr>
                  <w:rFonts w:ascii="Times New Roman" w:hAnsi="Times New Roman" w:cs="Times New Roman"/>
                  <w:noProof/>
                  <w:lang w:val="es-ES"/>
                </w:rPr>
                <w:t xml:space="preserve">Zorio Grima, A., García Benau,. </w:t>
              </w:r>
              <w:r w:rsidRPr="00C00340">
                <w:rPr>
                  <w:rFonts w:ascii="Times New Roman" w:hAnsi="Times New Roman" w:cs="Times New Roman"/>
                  <w:noProof/>
                </w:rPr>
                <w:t xml:space="preserve">A., &amp; Pucheta Martínez,. C. (2004). Calidad, un nuevo concepto clave en el desenlace del procesode armoniación contable internacional. </w:t>
              </w:r>
              <w:r w:rsidRPr="00C00340">
                <w:rPr>
                  <w:rFonts w:ascii="Times New Roman" w:hAnsi="Times New Roman" w:cs="Times New Roman"/>
                  <w:i/>
                  <w:iCs/>
                  <w:noProof/>
                </w:rPr>
                <w:t>Revista Española de Financiación y Contabilidad</w:t>
              </w:r>
              <w:r w:rsidRPr="00C00340">
                <w:rPr>
                  <w:rFonts w:ascii="Times New Roman" w:hAnsi="Times New Roman" w:cs="Times New Roman"/>
                  <w:noProof/>
                </w:rPr>
                <w:t>, 313-347.</w:t>
              </w:r>
            </w:p>
            <w:p w14:paraId="3FE3B7D8" w14:textId="754A07F6" w:rsidR="00F16EDB" w:rsidRPr="00551BA6" w:rsidRDefault="0075375E" w:rsidP="00551BA6">
              <w:pPr>
                <w:jc w:val="both"/>
              </w:pPr>
              <w:r w:rsidRPr="00505AD5">
                <w:rPr>
                  <w:rFonts w:ascii="Times New Roman" w:hAnsi="Times New Roman" w:cs="Times New Roman"/>
                  <w:b/>
                  <w:bCs/>
                </w:rPr>
                <w:fldChar w:fldCharType="end"/>
              </w:r>
            </w:p>
          </w:sdtContent>
        </w:sdt>
      </w:sdtContent>
    </w:sdt>
    <w:p w14:paraId="4408DE68" w14:textId="77777777" w:rsidR="002867E8" w:rsidRDefault="002867E8">
      <w:pPr>
        <w:spacing w:line="360" w:lineRule="auto"/>
        <w:jc w:val="both"/>
        <w:rPr>
          <w:rFonts w:ascii="Times New Roman" w:eastAsia="Times New Roman" w:hAnsi="Times New Roman" w:cs="Times New Roman"/>
        </w:rPr>
      </w:pPr>
    </w:p>
    <w:p w14:paraId="0A55F832" w14:textId="154390C8" w:rsidR="00207860" w:rsidRPr="00F16EDB" w:rsidRDefault="00207860">
      <w:pPr>
        <w:spacing w:line="360" w:lineRule="auto"/>
        <w:jc w:val="both"/>
        <w:rPr>
          <w:rFonts w:ascii="Times New Roman" w:eastAsia="Times New Roman" w:hAnsi="Times New Roman" w:cs="Times New Roman"/>
        </w:rPr>
      </w:pPr>
    </w:p>
    <w:sectPr w:rsidR="00207860" w:rsidRPr="00F16ED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D797" w14:textId="77777777" w:rsidR="005D4817" w:rsidRDefault="005D4817" w:rsidP="00601DC6">
      <w:pPr>
        <w:spacing w:after="0" w:line="240" w:lineRule="auto"/>
      </w:pPr>
      <w:r>
        <w:separator/>
      </w:r>
    </w:p>
  </w:endnote>
  <w:endnote w:type="continuationSeparator" w:id="0">
    <w:p w14:paraId="414BD88A" w14:textId="77777777" w:rsidR="005D4817" w:rsidRDefault="005D4817" w:rsidP="00601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09EA" w14:textId="77777777" w:rsidR="005D4817" w:rsidRDefault="005D4817" w:rsidP="00601DC6">
      <w:pPr>
        <w:spacing w:after="0" w:line="240" w:lineRule="auto"/>
      </w:pPr>
      <w:r>
        <w:separator/>
      </w:r>
    </w:p>
  </w:footnote>
  <w:footnote w:type="continuationSeparator" w:id="0">
    <w:p w14:paraId="33417C2F" w14:textId="77777777" w:rsidR="005D4817" w:rsidRDefault="005D4817" w:rsidP="00601DC6">
      <w:pPr>
        <w:spacing w:after="0" w:line="240" w:lineRule="auto"/>
      </w:pPr>
      <w:r>
        <w:continuationSeparator/>
      </w:r>
    </w:p>
  </w:footnote>
  <w:footnote w:id="1">
    <w:p w14:paraId="0B27C47E" w14:textId="75E82BB0" w:rsidR="00D62FA1" w:rsidRPr="00CC6C79" w:rsidRDefault="00D62FA1" w:rsidP="00D62FA1">
      <w:pPr>
        <w:pStyle w:val="Textonotapie"/>
        <w:ind w:left="0" w:hanging="2"/>
        <w:jc w:val="both"/>
        <w:rPr>
          <w:sz w:val="18"/>
          <w:szCs w:val="18"/>
        </w:rPr>
      </w:pPr>
      <w:r>
        <w:rPr>
          <w:rStyle w:val="Refdenotaalpie"/>
        </w:rPr>
        <w:footnoteRef/>
      </w:r>
      <w:r>
        <w:t xml:space="preserve"> </w:t>
      </w:r>
      <w:r w:rsidRPr="003863CB">
        <w:rPr>
          <w:sz w:val="18"/>
          <w:szCs w:val="18"/>
        </w:rPr>
        <w:t>La multicolinealidad consiste en la existencia de relaciones lineales entre dos o más variables explicativas de un modelo.</w:t>
      </w:r>
      <w:r w:rsidRPr="00CC6C79">
        <w:rPr>
          <w:sz w:val="18"/>
          <w:szCs w:val="18"/>
        </w:rPr>
        <w:t xml:space="preserve"> En este caso el alto grado de asociación positiva se produce porque la variable </w:t>
      </w:r>
      <m:oMath>
        <m:r>
          <w:rPr>
            <w:rFonts w:ascii="Cambria Math" w:hAnsi="Cambria Math"/>
            <w:sz w:val="18"/>
            <w:szCs w:val="18"/>
          </w:rPr>
          <m:t>Rdo</m:t>
        </m:r>
      </m:oMath>
      <w:r w:rsidRPr="00CC6C79">
        <w:rPr>
          <w:sz w:val="18"/>
          <w:szCs w:val="18"/>
        </w:rPr>
        <w:t xml:space="preserve"> es un componente de la variable </w:t>
      </w:r>
      <m:oMath>
        <m:r>
          <w:rPr>
            <w:rFonts w:ascii="Cambria Math" w:hAnsi="Cambria Math"/>
            <w:sz w:val="18"/>
            <w:szCs w:val="18"/>
          </w:rPr>
          <m:t>PN.</m:t>
        </m:r>
      </m:oMath>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A46"/>
    <w:multiLevelType w:val="multilevel"/>
    <w:tmpl w:val="2C0A001F"/>
    <w:numStyleLink w:val="Estilo1"/>
  </w:abstractNum>
  <w:abstractNum w:abstractNumId="1" w15:restartNumberingAfterBreak="0">
    <w:nsid w:val="68554F7F"/>
    <w:multiLevelType w:val="multilevel"/>
    <w:tmpl w:val="2C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4E7F66"/>
    <w:multiLevelType w:val="hybridMultilevel"/>
    <w:tmpl w:val="3F7C088E"/>
    <w:lvl w:ilvl="0" w:tplc="2C0A0013">
      <w:start w:val="1"/>
      <w:numFmt w:val="upperRoman"/>
      <w:lvlText w:val="%1."/>
      <w:lvlJc w:val="righ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16cid:durableId="2109080727">
    <w:abstractNumId w:val="1"/>
  </w:num>
  <w:num w:numId="2" w16cid:durableId="701708206">
    <w:abstractNumId w:val="0"/>
  </w:num>
  <w:num w:numId="3" w16cid:durableId="904219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79"/>
    <w:rsid w:val="00014E93"/>
    <w:rsid w:val="00033A60"/>
    <w:rsid w:val="00036C24"/>
    <w:rsid w:val="00040126"/>
    <w:rsid w:val="000420E2"/>
    <w:rsid w:val="0004579F"/>
    <w:rsid w:val="00055221"/>
    <w:rsid w:val="0006056A"/>
    <w:rsid w:val="000724AB"/>
    <w:rsid w:val="00081B53"/>
    <w:rsid w:val="000900DB"/>
    <w:rsid w:val="00091E9F"/>
    <w:rsid w:val="0009222E"/>
    <w:rsid w:val="000A2698"/>
    <w:rsid w:val="000A492C"/>
    <w:rsid w:val="000A4E41"/>
    <w:rsid w:val="000A683E"/>
    <w:rsid w:val="000B207B"/>
    <w:rsid w:val="000B5924"/>
    <w:rsid w:val="000B68F7"/>
    <w:rsid w:val="000C071C"/>
    <w:rsid w:val="000C0F13"/>
    <w:rsid w:val="000C1E34"/>
    <w:rsid w:val="000C47CD"/>
    <w:rsid w:val="000C766B"/>
    <w:rsid w:val="000D23AB"/>
    <w:rsid w:val="000D4A39"/>
    <w:rsid w:val="000D53E0"/>
    <w:rsid w:val="000D6848"/>
    <w:rsid w:val="000D6FFF"/>
    <w:rsid w:val="000D7196"/>
    <w:rsid w:val="000E1750"/>
    <w:rsid w:val="000E46A3"/>
    <w:rsid w:val="000F1095"/>
    <w:rsid w:val="000F18C0"/>
    <w:rsid w:val="000F60F1"/>
    <w:rsid w:val="000F6F76"/>
    <w:rsid w:val="000F766E"/>
    <w:rsid w:val="00120C28"/>
    <w:rsid w:val="001252B8"/>
    <w:rsid w:val="0013012E"/>
    <w:rsid w:val="00130AA9"/>
    <w:rsid w:val="001317F0"/>
    <w:rsid w:val="001402ED"/>
    <w:rsid w:val="00141313"/>
    <w:rsid w:val="00141AD9"/>
    <w:rsid w:val="00156B9D"/>
    <w:rsid w:val="0016143A"/>
    <w:rsid w:val="00161E09"/>
    <w:rsid w:val="0017204D"/>
    <w:rsid w:val="0017246D"/>
    <w:rsid w:val="0019626F"/>
    <w:rsid w:val="00196A3A"/>
    <w:rsid w:val="001A0618"/>
    <w:rsid w:val="001A73C6"/>
    <w:rsid w:val="001A7701"/>
    <w:rsid w:val="001B1FA8"/>
    <w:rsid w:val="001D12BE"/>
    <w:rsid w:val="001D6213"/>
    <w:rsid w:val="001D694F"/>
    <w:rsid w:val="001E023D"/>
    <w:rsid w:val="001E5B8D"/>
    <w:rsid w:val="001F69A2"/>
    <w:rsid w:val="00207860"/>
    <w:rsid w:val="00212560"/>
    <w:rsid w:val="00221C4F"/>
    <w:rsid w:val="00223B32"/>
    <w:rsid w:val="00230D77"/>
    <w:rsid w:val="002345D6"/>
    <w:rsid w:val="00244931"/>
    <w:rsid w:val="002501BB"/>
    <w:rsid w:val="002602FC"/>
    <w:rsid w:val="00262872"/>
    <w:rsid w:val="00262B2F"/>
    <w:rsid w:val="00263000"/>
    <w:rsid w:val="002649EB"/>
    <w:rsid w:val="0026551E"/>
    <w:rsid w:val="00267B23"/>
    <w:rsid w:val="0027490A"/>
    <w:rsid w:val="00276F23"/>
    <w:rsid w:val="00283A6F"/>
    <w:rsid w:val="00285F05"/>
    <w:rsid w:val="002867E8"/>
    <w:rsid w:val="00294DCD"/>
    <w:rsid w:val="00296888"/>
    <w:rsid w:val="002A2855"/>
    <w:rsid w:val="002A542A"/>
    <w:rsid w:val="002A6513"/>
    <w:rsid w:val="002B033E"/>
    <w:rsid w:val="002B4C6D"/>
    <w:rsid w:val="002D1954"/>
    <w:rsid w:val="002E0B99"/>
    <w:rsid w:val="002E63A7"/>
    <w:rsid w:val="002F25EA"/>
    <w:rsid w:val="002F5701"/>
    <w:rsid w:val="0030027B"/>
    <w:rsid w:val="00300BF1"/>
    <w:rsid w:val="00306431"/>
    <w:rsid w:val="003079FB"/>
    <w:rsid w:val="00307E1A"/>
    <w:rsid w:val="00307FE8"/>
    <w:rsid w:val="00314945"/>
    <w:rsid w:val="003166BC"/>
    <w:rsid w:val="00316C82"/>
    <w:rsid w:val="0032007B"/>
    <w:rsid w:val="00321216"/>
    <w:rsid w:val="00322506"/>
    <w:rsid w:val="00323E49"/>
    <w:rsid w:val="00326BB4"/>
    <w:rsid w:val="00332D29"/>
    <w:rsid w:val="00334560"/>
    <w:rsid w:val="00337ED0"/>
    <w:rsid w:val="00342EFB"/>
    <w:rsid w:val="00344CBD"/>
    <w:rsid w:val="00356E72"/>
    <w:rsid w:val="00386015"/>
    <w:rsid w:val="00387F71"/>
    <w:rsid w:val="00393A93"/>
    <w:rsid w:val="00394A65"/>
    <w:rsid w:val="003A0AED"/>
    <w:rsid w:val="003A4164"/>
    <w:rsid w:val="003A4DBB"/>
    <w:rsid w:val="003A5033"/>
    <w:rsid w:val="003A511A"/>
    <w:rsid w:val="003B02DC"/>
    <w:rsid w:val="003B480C"/>
    <w:rsid w:val="003C1911"/>
    <w:rsid w:val="003C37A9"/>
    <w:rsid w:val="003D2540"/>
    <w:rsid w:val="003D2923"/>
    <w:rsid w:val="003D7662"/>
    <w:rsid w:val="003E312B"/>
    <w:rsid w:val="003E5C27"/>
    <w:rsid w:val="003E7DAA"/>
    <w:rsid w:val="003F21A2"/>
    <w:rsid w:val="003F21BE"/>
    <w:rsid w:val="003F692D"/>
    <w:rsid w:val="003F72FF"/>
    <w:rsid w:val="00401819"/>
    <w:rsid w:val="00412786"/>
    <w:rsid w:val="00412925"/>
    <w:rsid w:val="00423929"/>
    <w:rsid w:val="00424E75"/>
    <w:rsid w:val="0042548C"/>
    <w:rsid w:val="00425C5D"/>
    <w:rsid w:val="0043714A"/>
    <w:rsid w:val="00447697"/>
    <w:rsid w:val="00472D94"/>
    <w:rsid w:val="0048195F"/>
    <w:rsid w:val="00482387"/>
    <w:rsid w:val="004871EE"/>
    <w:rsid w:val="004923CC"/>
    <w:rsid w:val="00494D69"/>
    <w:rsid w:val="00495B69"/>
    <w:rsid w:val="004A1893"/>
    <w:rsid w:val="004A29FA"/>
    <w:rsid w:val="004A4B18"/>
    <w:rsid w:val="004B5538"/>
    <w:rsid w:val="004C604D"/>
    <w:rsid w:val="004D529C"/>
    <w:rsid w:val="004D5E51"/>
    <w:rsid w:val="004D722D"/>
    <w:rsid w:val="004D7BB8"/>
    <w:rsid w:val="004E11F0"/>
    <w:rsid w:val="004E748C"/>
    <w:rsid w:val="004F4257"/>
    <w:rsid w:val="004F7E75"/>
    <w:rsid w:val="00503243"/>
    <w:rsid w:val="00505AD5"/>
    <w:rsid w:val="0050765E"/>
    <w:rsid w:val="00525E2E"/>
    <w:rsid w:val="00527C9F"/>
    <w:rsid w:val="005335BA"/>
    <w:rsid w:val="0053395A"/>
    <w:rsid w:val="00547499"/>
    <w:rsid w:val="00551BA6"/>
    <w:rsid w:val="005542D7"/>
    <w:rsid w:val="00557583"/>
    <w:rsid w:val="00562DBD"/>
    <w:rsid w:val="00563549"/>
    <w:rsid w:val="00566AA5"/>
    <w:rsid w:val="005822B7"/>
    <w:rsid w:val="00594657"/>
    <w:rsid w:val="005A2D73"/>
    <w:rsid w:val="005A4448"/>
    <w:rsid w:val="005A44FE"/>
    <w:rsid w:val="005A78B9"/>
    <w:rsid w:val="005B3ECD"/>
    <w:rsid w:val="005D3399"/>
    <w:rsid w:val="005D4817"/>
    <w:rsid w:val="005E089F"/>
    <w:rsid w:val="005E6C7A"/>
    <w:rsid w:val="005E7DE8"/>
    <w:rsid w:val="005F38C2"/>
    <w:rsid w:val="00601DC6"/>
    <w:rsid w:val="00603DBB"/>
    <w:rsid w:val="00605B18"/>
    <w:rsid w:val="00610100"/>
    <w:rsid w:val="00612D02"/>
    <w:rsid w:val="00624004"/>
    <w:rsid w:val="006266AA"/>
    <w:rsid w:val="00641711"/>
    <w:rsid w:val="00650BB2"/>
    <w:rsid w:val="00651EAA"/>
    <w:rsid w:val="006533FE"/>
    <w:rsid w:val="00660031"/>
    <w:rsid w:val="0066088F"/>
    <w:rsid w:val="00660C8E"/>
    <w:rsid w:val="006669BB"/>
    <w:rsid w:val="006679DE"/>
    <w:rsid w:val="00671A94"/>
    <w:rsid w:val="00671B73"/>
    <w:rsid w:val="0067712F"/>
    <w:rsid w:val="00681EDC"/>
    <w:rsid w:val="0068319A"/>
    <w:rsid w:val="00690BD6"/>
    <w:rsid w:val="006960AC"/>
    <w:rsid w:val="0069687C"/>
    <w:rsid w:val="006A12F1"/>
    <w:rsid w:val="006A1A74"/>
    <w:rsid w:val="006A304C"/>
    <w:rsid w:val="006A33A0"/>
    <w:rsid w:val="006C6424"/>
    <w:rsid w:val="006D3DD3"/>
    <w:rsid w:val="006D41E3"/>
    <w:rsid w:val="006D4530"/>
    <w:rsid w:val="006D6152"/>
    <w:rsid w:val="006D7A88"/>
    <w:rsid w:val="006E644A"/>
    <w:rsid w:val="006F1213"/>
    <w:rsid w:val="006F3B1E"/>
    <w:rsid w:val="006F526E"/>
    <w:rsid w:val="00702FC8"/>
    <w:rsid w:val="00703E6A"/>
    <w:rsid w:val="007120F8"/>
    <w:rsid w:val="0071674C"/>
    <w:rsid w:val="00727588"/>
    <w:rsid w:val="00736880"/>
    <w:rsid w:val="007372A7"/>
    <w:rsid w:val="00741C8D"/>
    <w:rsid w:val="0074384E"/>
    <w:rsid w:val="0074387C"/>
    <w:rsid w:val="007459E9"/>
    <w:rsid w:val="00752924"/>
    <w:rsid w:val="00752E1D"/>
    <w:rsid w:val="0075375E"/>
    <w:rsid w:val="007637E9"/>
    <w:rsid w:val="007701B0"/>
    <w:rsid w:val="007753AF"/>
    <w:rsid w:val="007762C6"/>
    <w:rsid w:val="00790815"/>
    <w:rsid w:val="00792E2E"/>
    <w:rsid w:val="00794227"/>
    <w:rsid w:val="00797178"/>
    <w:rsid w:val="007A2C3A"/>
    <w:rsid w:val="007A472F"/>
    <w:rsid w:val="007B0D46"/>
    <w:rsid w:val="007C608E"/>
    <w:rsid w:val="007C6E69"/>
    <w:rsid w:val="007D10A4"/>
    <w:rsid w:val="007D72AD"/>
    <w:rsid w:val="007E215D"/>
    <w:rsid w:val="007F22A3"/>
    <w:rsid w:val="00821607"/>
    <w:rsid w:val="00822EED"/>
    <w:rsid w:val="00824233"/>
    <w:rsid w:val="00830F79"/>
    <w:rsid w:val="00832CA8"/>
    <w:rsid w:val="0083512C"/>
    <w:rsid w:val="00842B7F"/>
    <w:rsid w:val="00846586"/>
    <w:rsid w:val="00847EBE"/>
    <w:rsid w:val="00850DBA"/>
    <w:rsid w:val="0085206B"/>
    <w:rsid w:val="008544D5"/>
    <w:rsid w:val="008548F1"/>
    <w:rsid w:val="00865236"/>
    <w:rsid w:val="0086543D"/>
    <w:rsid w:val="00871009"/>
    <w:rsid w:val="008A262B"/>
    <w:rsid w:val="008A5330"/>
    <w:rsid w:val="008D2823"/>
    <w:rsid w:val="008D716B"/>
    <w:rsid w:val="008E5161"/>
    <w:rsid w:val="008F0C43"/>
    <w:rsid w:val="008F5EC3"/>
    <w:rsid w:val="00904826"/>
    <w:rsid w:val="00906F3D"/>
    <w:rsid w:val="0091270D"/>
    <w:rsid w:val="00917592"/>
    <w:rsid w:val="00922E5C"/>
    <w:rsid w:val="009256F6"/>
    <w:rsid w:val="00925F84"/>
    <w:rsid w:val="0093276E"/>
    <w:rsid w:val="00933FE2"/>
    <w:rsid w:val="00934536"/>
    <w:rsid w:val="009345ED"/>
    <w:rsid w:val="00934D6F"/>
    <w:rsid w:val="00942183"/>
    <w:rsid w:val="00942E7E"/>
    <w:rsid w:val="009438EE"/>
    <w:rsid w:val="00943F32"/>
    <w:rsid w:val="0094691E"/>
    <w:rsid w:val="009531EB"/>
    <w:rsid w:val="00954BB7"/>
    <w:rsid w:val="00961632"/>
    <w:rsid w:val="00967A7B"/>
    <w:rsid w:val="00970F7D"/>
    <w:rsid w:val="0097377D"/>
    <w:rsid w:val="009757AF"/>
    <w:rsid w:val="00983148"/>
    <w:rsid w:val="009860AF"/>
    <w:rsid w:val="00987D47"/>
    <w:rsid w:val="009930C7"/>
    <w:rsid w:val="009936A2"/>
    <w:rsid w:val="009A19EB"/>
    <w:rsid w:val="009A20BA"/>
    <w:rsid w:val="009B1A03"/>
    <w:rsid w:val="009B2D56"/>
    <w:rsid w:val="009B6B56"/>
    <w:rsid w:val="009B7461"/>
    <w:rsid w:val="009C1012"/>
    <w:rsid w:val="009E770D"/>
    <w:rsid w:val="009F34C4"/>
    <w:rsid w:val="00A017E1"/>
    <w:rsid w:val="00A01BEB"/>
    <w:rsid w:val="00A125DC"/>
    <w:rsid w:val="00A242EA"/>
    <w:rsid w:val="00A308C6"/>
    <w:rsid w:val="00A32826"/>
    <w:rsid w:val="00A4134A"/>
    <w:rsid w:val="00A474BB"/>
    <w:rsid w:val="00A534C9"/>
    <w:rsid w:val="00A60F34"/>
    <w:rsid w:val="00A614B5"/>
    <w:rsid w:val="00A62F3F"/>
    <w:rsid w:val="00A829B5"/>
    <w:rsid w:val="00A82F44"/>
    <w:rsid w:val="00A84C77"/>
    <w:rsid w:val="00AA35DA"/>
    <w:rsid w:val="00AA3B4F"/>
    <w:rsid w:val="00AA3D14"/>
    <w:rsid w:val="00AA5466"/>
    <w:rsid w:val="00AB3649"/>
    <w:rsid w:val="00AB4A6A"/>
    <w:rsid w:val="00AB570F"/>
    <w:rsid w:val="00AC382D"/>
    <w:rsid w:val="00AC6C0A"/>
    <w:rsid w:val="00AE21E9"/>
    <w:rsid w:val="00B016F6"/>
    <w:rsid w:val="00B07963"/>
    <w:rsid w:val="00B15602"/>
    <w:rsid w:val="00B1759C"/>
    <w:rsid w:val="00B20A00"/>
    <w:rsid w:val="00B22679"/>
    <w:rsid w:val="00B30D36"/>
    <w:rsid w:val="00B357C0"/>
    <w:rsid w:val="00B434B9"/>
    <w:rsid w:val="00B46E99"/>
    <w:rsid w:val="00B50827"/>
    <w:rsid w:val="00B51D3B"/>
    <w:rsid w:val="00B551A2"/>
    <w:rsid w:val="00B57667"/>
    <w:rsid w:val="00B66E25"/>
    <w:rsid w:val="00B802E6"/>
    <w:rsid w:val="00B8453F"/>
    <w:rsid w:val="00B86DEE"/>
    <w:rsid w:val="00BA126E"/>
    <w:rsid w:val="00BA18E1"/>
    <w:rsid w:val="00BA1B24"/>
    <w:rsid w:val="00BA209F"/>
    <w:rsid w:val="00BA5850"/>
    <w:rsid w:val="00BB2A9F"/>
    <w:rsid w:val="00BB5F28"/>
    <w:rsid w:val="00BB6387"/>
    <w:rsid w:val="00BC7AAF"/>
    <w:rsid w:val="00BD478C"/>
    <w:rsid w:val="00BD686B"/>
    <w:rsid w:val="00BD72B1"/>
    <w:rsid w:val="00BD7AD3"/>
    <w:rsid w:val="00BE5911"/>
    <w:rsid w:val="00BF71F9"/>
    <w:rsid w:val="00C00340"/>
    <w:rsid w:val="00C04601"/>
    <w:rsid w:val="00C04901"/>
    <w:rsid w:val="00C11F4F"/>
    <w:rsid w:val="00C21611"/>
    <w:rsid w:val="00C21FF5"/>
    <w:rsid w:val="00C25C92"/>
    <w:rsid w:val="00C30FA4"/>
    <w:rsid w:val="00C454A3"/>
    <w:rsid w:val="00C67293"/>
    <w:rsid w:val="00C7481C"/>
    <w:rsid w:val="00C75AF8"/>
    <w:rsid w:val="00C94CF1"/>
    <w:rsid w:val="00C96344"/>
    <w:rsid w:val="00C96855"/>
    <w:rsid w:val="00CA0C7F"/>
    <w:rsid w:val="00CA1389"/>
    <w:rsid w:val="00CA4834"/>
    <w:rsid w:val="00CB16D5"/>
    <w:rsid w:val="00CB34B2"/>
    <w:rsid w:val="00CB7572"/>
    <w:rsid w:val="00CD1C25"/>
    <w:rsid w:val="00CD25B5"/>
    <w:rsid w:val="00CD3536"/>
    <w:rsid w:val="00CD449A"/>
    <w:rsid w:val="00CE10F5"/>
    <w:rsid w:val="00CE50C7"/>
    <w:rsid w:val="00CF7AD7"/>
    <w:rsid w:val="00D221A6"/>
    <w:rsid w:val="00D30532"/>
    <w:rsid w:val="00D4476B"/>
    <w:rsid w:val="00D469A8"/>
    <w:rsid w:val="00D50434"/>
    <w:rsid w:val="00D50747"/>
    <w:rsid w:val="00D52D65"/>
    <w:rsid w:val="00D54042"/>
    <w:rsid w:val="00D56C19"/>
    <w:rsid w:val="00D62FA1"/>
    <w:rsid w:val="00D63E07"/>
    <w:rsid w:val="00D6517C"/>
    <w:rsid w:val="00D6547E"/>
    <w:rsid w:val="00D76F35"/>
    <w:rsid w:val="00D806C6"/>
    <w:rsid w:val="00D83C0E"/>
    <w:rsid w:val="00D846EC"/>
    <w:rsid w:val="00D863EA"/>
    <w:rsid w:val="00D8792F"/>
    <w:rsid w:val="00D9105D"/>
    <w:rsid w:val="00D94C03"/>
    <w:rsid w:val="00D95FC1"/>
    <w:rsid w:val="00D976C7"/>
    <w:rsid w:val="00DA03A0"/>
    <w:rsid w:val="00DA46A4"/>
    <w:rsid w:val="00DA7264"/>
    <w:rsid w:val="00DD5F7D"/>
    <w:rsid w:val="00DD6B62"/>
    <w:rsid w:val="00DE252A"/>
    <w:rsid w:val="00DE6674"/>
    <w:rsid w:val="00E01445"/>
    <w:rsid w:val="00E02059"/>
    <w:rsid w:val="00E027C7"/>
    <w:rsid w:val="00E11335"/>
    <w:rsid w:val="00E13A12"/>
    <w:rsid w:val="00E13CCD"/>
    <w:rsid w:val="00E22592"/>
    <w:rsid w:val="00E25B71"/>
    <w:rsid w:val="00E27C31"/>
    <w:rsid w:val="00E30481"/>
    <w:rsid w:val="00E34040"/>
    <w:rsid w:val="00E4375B"/>
    <w:rsid w:val="00E456AB"/>
    <w:rsid w:val="00E52163"/>
    <w:rsid w:val="00E546C3"/>
    <w:rsid w:val="00E550C3"/>
    <w:rsid w:val="00E701F1"/>
    <w:rsid w:val="00E72048"/>
    <w:rsid w:val="00E74339"/>
    <w:rsid w:val="00E92AF0"/>
    <w:rsid w:val="00E943CD"/>
    <w:rsid w:val="00E95CE2"/>
    <w:rsid w:val="00EA0CF0"/>
    <w:rsid w:val="00EC383D"/>
    <w:rsid w:val="00EC3DF9"/>
    <w:rsid w:val="00EC4A1B"/>
    <w:rsid w:val="00EC6020"/>
    <w:rsid w:val="00ED0869"/>
    <w:rsid w:val="00ED6598"/>
    <w:rsid w:val="00EE3C5F"/>
    <w:rsid w:val="00EF37B1"/>
    <w:rsid w:val="00EF6936"/>
    <w:rsid w:val="00F13860"/>
    <w:rsid w:val="00F16EDB"/>
    <w:rsid w:val="00F20335"/>
    <w:rsid w:val="00F21195"/>
    <w:rsid w:val="00F26CA3"/>
    <w:rsid w:val="00F321EF"/>
    <w:rsid w:val="00F32278"/>
    <w:rsid w:val="00F33BA2"/>
    <w:rsid w:val="00F4008C"/>
    <w:rsid w:val="00F54558"/>
    <w:rsid w:val="00F650D7"/>
    <w:rsid w:val="00F65D3E"/>
    <w:rsid w:val="00F660F4"/>
    <w:rsid w:val="00F666AD"/>
    <w:rsid w:val="00F6670F"/>
    <w:rsid w:val="00F92E2C"/>
    <w:rsid w:val="00F95068"/>
    <w:rsid w:val="00FA4B0E"/>
    <w:rsid w:val="00FB6665"/>
    <w:rsid w:val="00FC4F7A"/>
    <w:rsid w:val="00FF1DB7"/>
    <w:rsid w:val="00FF2753"/>
    <w:rsid w:val="00FF4F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E672"/>
  <w15:docId w15:val="{06EDBA18-BE2A-48D9-BA8C-7D166B0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375E"/>
    <w:pPr>
      <w:keepNext/>
      <w:keepLines/>
      <w:spacing w:before="240" w:after="0"/>
      <w:outlineLvl w:val="0"/>
    </w:pPr>
    <w:rPr>
      <w:rFonts w:asciiTheme="majorHAnsi" w:eastAsiaTheme="majorEastAsia" w:hAnsiTheme="majorHAnsi" w:cstheme="majorBidi"/>
      <w:color w:val="2F5496" w:themeColor="accent1" w:themeShade="BF"/>
      <w:sz w:val="32"/>
      <w:szCs w:val="32"/>
      <w:lang w:eastAsia="es-AR"/>
    </w:rPr>
  </w:style>
  <w:style w:type="paragraph" w:styleId="Ttulo2">
    <w:name w:val="heading 2"/>
    <w:basedOn w:val="Normal"/>
    <w:next w:val="Normal"/>
    <w:link w:val="Ttulo2Car"/>
    <w:uiPriority w:val="9"/>
    <w:unhideWhenUsed/>
    <w:qFormat/>
    <w:rsid w:val="00244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17E1"/>
    <w:rPr>
      <w:color w:val="0563C1" w:themeColor="hyperlink"/>
      <w:u w:val="single"/>
    </w:rPr>
  </w:style>
  <w:style w:type="character" w:customStyle="1" w:styleId="Mencinsinresolver1">
    <w:name w:val="Mención sin resolver1"/>
    <w:basedOn w:val="Fuentedeprrafopredeter"/>
    <w:uiPriority w:val="99"/>
    <w:semiHidden/>
    <w:unhideWhenUsed/>
    <w:rsid w:val="00A017E1"/>
    <w:rPr>
      <w:color w:val="605E5C"/>
      <w:shd w:val="clear" w:color="auto" w:fill="E1DFDD"/>
    </w:rPr>
  </w:style>
  <w:style w:type="paragraph" w:styleId="Textonotapie">
    <w:name w:val="footnote text"/>
    <w:basedOn w:val="Normal"/>
    <w:link w:val="TextonotapieCar"/>
    <w:uiPriority w:val="99"/>
    <w:unhideWhenUsed/>
    <w:rsid w:val="00601DC6"/>
    <w:pPr>
      <w:suppressAutoHyphens/>
      <w:spacing w:after="0" w:line="276" w:lineRule="auto"/>
      <w:ind w:leftChars="-1" w:left="-1" w:hangingChars="1" w:hanging="1"/>
      <w:textDirection w:val="btLr"/>
      <w:textAlignment w:val="top"/>
      <w:outlineLvl w:val="0"/>
    </w:pPr>
    <w:rPr>
      <w:rFonts w:ascii="Arial" w:eastAsia="Arial" w:hAnsi="Arial" w:cs="Arial"/>
      <w:position w:val="-1"/>
      <w:sz w:val="20"/>
      <w:szCs w:val="20"/>
      <w:lang w:eastAsia="es-AR"/>
    </w:rPr>
  </w:style>
  <w:style w:type="character" w:customStyle="1" w:styleId="TextonotapieCar">
    <w:name w:val="Texto nota pie Car"/>
    <w:basedOn w:val="Fuentedeprrafopredeter"/>
    <w:link w:val="Textonotapie"/>
    <w:uiPriority w:val="99"/>
    <w:rsid w:val="00601DC6"/>
    <w:rPr>
      <w:rFonts w:ascii="Arial" w:eastAsia="Arial" w:hAnsi="Arial" w:cs="Arial"/>
      <w:position w:val="-1"/>
      <w:sz w:val="20"/>
      <w:szCs w:val="20"/>
      <w:lang w:eastAsia="es-AR"/>
    </w:rPr>
  </w:style>
  <w:style w:type="character" w:styleId="Refdenotaalpie">
    <w:name w:val="footnote reference"/>
    <w:uiPriority w:val="99"/>
    <w:semiHidden/>
    <w:unhideWhenUsed/>
    <w:rsid w:val="00601DC6"/>
    <w:rPr>
      <w:vertAlign w:val="superscript"/>
    </w:rPr>
  </w:style>
  <w:style w:type="paragraph" w:styleId="Textodeglobo">
    <w:name w:val="Balloon Text"/>
    <w:basedOn w:val="Normal"/>
    <w:link w:val="TextodegloboCar"/>
    <w:uiPriority w:val="99"/>
    <w:semiHidden/>
    <w:unhideWhenUsed/>
    <w:rsid w:val="00276F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6F23"/>
    <w:rPr>
      <w:rFonts w:ascii="Tahoma" w:hAnsi="Tahoma" w:cs="Tahoma"/>
      <w:sz w:val="16"/>
      <w:szCs w:val="16"/>
    </w:rPr>
  </w:style>
  <w:style w:type="character" w:customStyle="1" w:styleId="Ttulo1Car">
    <w:name w:val="Título 1 Car"/>
    <w:basedOn w:val="Fuentedeprrafopredeter"/>
    <w:link w:val="Ttulo1"/>
    <w:uiPriority w:val="9"/>
    <w:rsid w:val="0075375E"/>
    <w:rPr>
      <w:rFonts w:asciiTheme="majorHAnsi" w:eastAsiaTheme="majorEastAsia" w:hAnsiTheme="majorHAnsi" w:cstheme="majorBidi"/>
      <w:color w:val="2F5496" w:themeColor="accent1" w:themeShade="BF"/>
      <w:sz w:val="32"/>
      <w:szCs w:val="32"/>
      <w:lang w:eastAsia="es-AR"/>
    </w:rPr>
  </w:style>
  <w:style w:type="paragraph" w:styleId="Bibliografa">
    <w:name w:val="Bibliography"/>
    <w:basedOn w:val="Normal"/>
    <w:next w:val="Normal"/>
    <w:uiPriority w:val="37"/>
    <w:unhideWhenUsed/>
    <w:rsid w:val="0075375E"/>
  </w:style>
  <w:style w:type="paragraph" w:styleId="NormalWeb">
    <w:name w:val="Normal (Web)"/>
    <w:basedOn w:val="Normal"/>
    <w:uiPriority w:val="99"/>
    <w:unhideWhenUsed/>
    <w:rsid w:val="00356E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2Car">
    <w:name w:val="Título 2 Car"/>
    <w:basedOn w:val="Fuentedeprrafopredeter"/>
    <w:link w:val="Ttulo2"/>
    <w:uiPriority w:val="9"/>
    <w:rsid w:val="00244931"/>
    <w:rPr>
      <w:rFonts w:asciiTheme="majorHAnsi" w:eastAsiaTheme="majorEastAsia" w:hAnsiTheme="majorHAnsi" w:cstheme="majorBidi"/>
      <w:color w:val="2F5496" w:themeColor="accent1" w:themeShade="BF"/>
      <w:sz w:val="26"/>
      <w:szCs w:val="26"/>
    </w:rPr>
  </w:style>
  <w:style w:type="numbering" w:customStyle="1" w:styleId="Estilo1">
    <w:name w:val="Estilo1"/>
    <w:uiPriority w:val="99"/>
    <w:rsid w:val="00244931"/>
    <w:pPr>
      <w:numPr>
        <w:numId w:val="1"/>
      </w:numPr>
    </w:pPr>
  </w:style>
  <w:style w:type="table" w:styleId="Tablaconcuadrcula">
    <w:name w:val="Table Grid"/>
    <w:basedOn w:val="Tablanormal"/>
    <w:uiPriority w:val="39"/>
    <w:rsid w:val="00AE21E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002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039">
      <w:bodyDiv w:val="1"/>
      <w:marLeft w:val="0"/>
      <w:marRight w:val="0"/>
      <w:marTop w:val="0"/>
      <w:marBottom w:val="0"/>
      <w:divBdr>
        <w:top w:val="none" w:sz="0" w:space="0" w:color="auto"/>
        <w:left w:val="none" w:sz="0" w:space="0" w:color="auto"/>
        <w:bottom w:val="none" w:sz="0" w:space="0" w:color="auto"/>
        <w:right w:val="none" w:sz="0" w:space="0" w:color="auto"/>
      </w:divBdr>
    </w:div>
    <w:div w:id="21714224">
      <w:bodyDiv w:val="1"/>
      <w:marLeft w:val="0"/>
      <w:marRight w:val="0"/>
      <w:marTop w:val="0"/>
      <w:marBottom w:val="0"/>
      <w:divBdr>
        <w:top w:val="none" w:sz="0" w:space="0" w:color="auto"/>
        <w:left w:val="none" w:sz="0" w:space="0" w:color="auto"/>
        <w:bottom w:val="none" w:sz="0" w:space="0" w:color="auto"/>
        <w:right w:val="none" w:sz="0" w:space="0" w:color="auto"/>
      </w:divBdr>
    </w:div>
    <w:div w:id="56905627">
      <w:bodyDiv w:val="1"/>
      <w:marLeft w:val="0"/>
      <w:marRight w:val="0"/>
      <w:marTop w:val="0"/>
      <w:marBottom w:val="0"/>
      <w:divBdr>
        <w:top w:val="none" w:sz="0" w:space="0" w:color="auto"/>
        <w:left w:val="none" w:sz="0" w:space="0" w:color="auto"/>
        <w:bottom w:val="none" w:sz="0" w:space="0" w:color="auto"/>
        <w:right w:val="none" w:sz="0" w:space="0" w:color="auto"/>
      </w:divBdr>
    </w:div>
    <w:div w:id="70737721">
      <w:bodyDiv w:val="1"/>
      <w:marLeft w:val="0"/>
      <w:marRight w:val="0"/>
      <w:marTop w:val="0"/>
      <w:marBottom w:val="0"/>
      <w:divBdr>
        <w:top w:val="none" w:sz="0" w:space="0" w:color="auto"/>
        <w:left w:val="none" w:sz="0" w:space="0" w:color="auto"/>
        <w:bottom w:val="none" w:sz="0" w:space="0" w:color="auto"/>
        <w:right w:val="none" w:sz="0" w:space="0" w:color="auto"/>
      </w:divBdr>
    </w:div>
    <w:div w:id="75708553">
      <w:bodyDiv w:val="1"/>
      <w:marLeft w:val="0"/>
      <w:marRight w:val="0"/>
      <w:marTop w:val="0"/>
      <w:marBottom w:val="0"/>
      <w:divBdr>
        <w:top w:val="none" w:sz="0" w:space="0" w:color="auto"/>
        <w:left w:val="none" w:sz="0" w:space="0" w:color="auto"/>
        <w:bottom w:val="none" w:sz="0" w:space="0" w:color="auto"/>
        <w:right w:val="none" w:sz="0" w:space="0" w:color="auto"/>
      </w:divBdr>
    </w:div>
    <w:div w:id="76244617">
      <w:bodyDiv w:val="1"/>
      <w:marLeft w:val="0"/>
      <w:marRight w:val="0"/>
      <w:marTop w:val="0"/>
      <w:marBottom w:val="0"/>
      <w:divBdr>
        <w:top w:val="none" w:sz="0" w:space="0" w:color="auto"/>
        <w:left w:val="none" w:sz="0" w:space="0" w:color="auto"/>
        <w:bottom w:val="none" w:sz="0" w:space="0" w:color="auto"/>
        <w:right w:val="none" w:sz="0" w:space="0" w:color="auto"/>
      </w:divBdr>
    </w:div>
    <w:div w:id="83770274">
      <w:bodyDiv w:val="1"/>
      <w:marLeft w:val="0"/>
      <w:marRight w:val="0"/>
      <w:marTop w:val="0"/>
      <w:marBottom w:val="0"/>
      <w:divBdr>
        <w:top w:val="none" w:sz="0" w:space="0" w:color="auto"/>
        <w:left w:val="none" w:sz="0" w:space="0" w:color="auto"/>
        <w:bottom w:val="none" w:sz="0" w:space="0" w:color="auto"/>
        <w:right w:val="none" w:sz="0" w:space="0" w:color="auto"/>
      </w:divBdr>
    </w:div>
    <w:div w:id="95100761">
      <w:bodyDiv w:val="1"/>
      <w:marLeft w:val="0"/>
      <w:marRight w:val="0"/>
      <w:marTop w:val="0"/>
      <w:marBottom w:val="0"/>
      <w:divBdr>
        <w:top w:val="none" w:sz="0" w:space="0" w:color="auto"/>
        <w:left w:val="none" w:sz="0" w:space="0" w:color="auto"/>
        <w:bottom w:val="none" w:sz="0" w:space="0" w:color="auto"/>
        <w:right w:val="none" w:sz="0" w:space="0" w:color="auto"/>
      </w:divBdr>
    </w:div>
    <w:div w:id="124584405">
      <w:bodyDiv w:val="1"/>
      <w:marLeft w:val="0"/>
      <w:marRight w:val="0"/>
      <w:marTop w:val="0"/>
      <w:marBottom w:val="0"/>
      <w:divBdr>
        <w:top w:val="none" w:sz="0" w:space="0" w:color="auto"/>
        <w:left w:val="none" w:sz="0" w:space="0" w:color="auto"/>
        <w:bottom w:val="none" w:sz="0" w:space="0" w:color="auto"/>
        <w:right w:val="none" w:sz="0" w:space="0" w:color="auto"/>
      </w:divBdr>
    </w:div>
    <w:div w:id="164369173">
      <w:bodyDiv w:val="1"/>
      <w:marLeft w:val="0"/>
      <w:marRight w:val="0"/>
      <w:marTop w:val="0"/>
      <w:marBottom w:val="0"/>
      <w:divBdr>
        <w:top w:val="none" w:sz="0" w:space="0" w:color="auto"/>
        <w:left w:val="none" w:sz="0" w:space="0" w:color="auto"/>
        <w:bottom w:val="none" w:sz="0" w:space="0" w:color="auto"/>
        <w:right w:val="none" w:sz="0" w:space="0" w:color="auto"/>
      </w:divBdr>
    </w:div>
    <w:div w:id="180514431">
      <w:bodyDiv w:val="1"/>
      <w:marLeft w:val="0"/>
      <w:marRight w:val="0"/>
      <w:marTop w:val="0"/>
      <w:marBottom w:val="0"/>
      <w:divBdr>
        <w:top w:val="none" w:sz="0" w:space="0" w:color="auto"/>
        <w:left w:val="none" w:sz="0" w:space="0" w:color="auto"/>
        <w:bottom w:val="none" w:sz="0" w:space="0" w:color="auto"/>
        <w:right w:val="none" w:sz="0" w:space="0" w:color="auto"/>
      </w:divBdr>
    </w:div>
    <w:div w:id="192890391">
      <w:bodyDiv w:val="1"/>
      <w:marLeft w:val="0"/>
      <w:marRight w:val="0"/>
      <w:marTop w:val="0"/>
      <w:marBottom w:val="0"/>
      <w:divBdr>
        <w:top w:val="none" w:sz="0" w:space="0" w:color="auto"/>
        <w:left w:val="none" w:sz="0" w:space="0" w:color="auto"/>
        <w:bottom w:val="none" w:sz="0" w:space="0" w:color="auto"/>
        <w:right w:val="none" w:sz="0" w:space="0" w:color="auto"/>
      </w:divBdr>
    </w:div>
    <w:div w:id="198393044">
      <w:bodyDiv w:val="1"/>
      <w:marLeft w:val="0"/>
      <w:marRight w:val="0"/>
      <w:marTop w:val="0"/>
      <w:marBottom w:val="0"/>
      <w:divBdr>
        <w:top w:val="none" w:sz="0" w:space="0" w:color="auto"/>
        <w:left w:val="none" w:sz="0" w:space="0" w:color="auto"/>
        <w:bottom w:val="none" w:sz="0" w:space="0" w:color="auto"/>
        <w:right w:val="none" w:sz="0" w:space="0" w:color="auto"/>
      </w:divBdr>
    </w:div>
    <w:div w:id="225577266">
      <w:bodyDiv w:val="1"/>
      <w:marLeft w:val="0"/>
      <w:marRight w:val="0"/>
      <w:marTop w:val="0"/>
      <w:marBottom w:val="0"/>
      <w:divBdr>
        <w:top w:val="none" w:sz="0" w:space="0" w:color="auto"/>
        <w:left w:val="none" w:sz="0" w:space="0" w:color="auto"/>
        <w:bottom w:val="none" w:sz="0" w:space="0" w:color="auto"/>
        <w:right w:val="none" w:sz="0" w:space="0" w:color="auto"/>
      </w:divBdr>
    </w:div>
    <w:div w:id="240221344">
      <w:bodyDiv w:val="1"/>
      <w:marLeft w:val="0"/>
      <w:marRight w:val="0"/>
      <w:marTop w:val="0"/>
      <w:marBottom w:val="0"/>
      <w:divBdr>
        <w:top w:val="none" w:sz="0" w:space="0" w:color="auto"/>
        <w:left w:val="none" w:sz="0" w:space="0" w:color="auto"/>
        <w:bottom w:val="none" w:sz="0" w:space="0" w:color="auto"/>
        <w:right w:val="none" w:sz="0" w:space="0" w:color="auto"/>
      </w:divBdr>
    </w:div>
    <w:div w:id="250897684">
      <w:bodyDiv w:val="1"/>
      <w:marLeft w:val="0"/>
      <w:marRight w:val="0"/>
      <w:marTop w:val="0"/>
      <w:marBottom w:val="0"/>
      <w:divBdr>
        <w:top w:val="none" w:sz="0" w:space="0" w:color="auto"/>
        <w:left w:val="none" w:sz="0" w:space="0" w:color="auto"/>
        <w:bottom w:val="none" w:sz="0" w:space="0" w:color="auto"/>
        <w:right w:val="none" w:sz="0" w:space="0" w:color="auto"/>
      </w:divBdr>
    </w:div>
    <w:div w:id="254167517">
      <w:bodyDiv w:val="1"/>
      <w:marLeft w:val="0"/>
      <w:marRight w:val="0"/>
      <w:marTop w:val="0"/>
      <w:marBottom w:val="0"/>
      <w:divBdr>
        <w:top w:val="none" w:sz="0" w:space="0" w:color="auto"/>
        <w:left w:val="none" w:sz="0" w:space="0" w:color="auto"/>
        <w:bottom w:val="none" w:sz="0" w:space="0" w:color="auto"/>
        <w:right w:val="none" w:sz="0" w:space="0" w:color="auto"/>
      </w:divBdr>
    </w:div>
    <w:div w:id="268199004">
      <w:bodyDiv w:val="1"/>
      <w:marLeft w:val="0"/>
      <w:marRight w:val="0"/>
      <w:marTop w:val="0"/>
      <w:marBottom w:val="0"/>
      <w:divBdr>
        <w:top w:val="none" w:sz="0" w:space="0" w:color="auto"/>
        <w:left w:val="none" w:sz="0" w:space="0" w:color="auto"/>
        <w:bottom w:val="none" w:sz="0" w:space="0" w:color="auto"/>
        <w:right w:val="none" w:sz="0" w:space="0" w:color="auto"/>
      </w:divBdr>
    </w:div>
    <w:div w:id="278924415">
      <w:bodyDiv w:val="1"/>
      <w:marLeft w:val="0"/>
      <w:marRight w:val="0"/>
      <w:marTop w:val="0"/>
      <w:marBottom w:val="0"/>
      <w:divBdr>
        <w:top w:val="none" w:sz="0" w:space="0" w:color="auto"/>
        <w:left w:val="none" w:sz="0" w:space="0" w:color="auto"/>
        <w:bottom w:val="none" w:sz="0" w:space="0" w:color="auto"/>
        <w:right w:val="none" w:sz="0" w:space="0" w:color="auto"/>
      </w:divBdr>
    </w:div>
    <w:div w:id="308556578">
      <w:bodyDiv w:val="1"/>
      <w:marLeft w:val="0"/>
      <w:marRight w:val="0"/>
      <w:marTop w:val="0"/>
      <w:marBottom w:val="0"/>
      <w:divBdr>
        <w:top w:val="none" w:sz="0" w:space="0" w:color="auto"/>
        <w:left w:val="none" w:sz="0" w:space="0" w:color="auto"/>
        <w:bottom w:val="none" w:sz="0" w:space="0" w:color="auto"/>
        <w:right w:val="none" w:sz="0" w:space="0" w:color="auto"/>
      </w:divBdr>
    </w:div>
    <w:div w:id="353382563">
      <w:bodyDiv w:val="1"/>
      <w:marLeft w:val="0"/>
      <w:marRight w:val="0"/>
      <w:marTop w:val="0"/>
      <w:marBottom w:val="0"/>
      <w:divBdr>
        <w:top w:val="none" w:sz="0" w:space="0" w:color="auto"/>
        <w:left w:val="none" w:sz="0" w:space="0" w:color="auto"/>
        <w:bottom w:val="none" w:sz="0" w:space="0" w:color="auto"/>
        <w:right w:val="none" w:sz="0" w:space="0" w:color="auto"/>
      </w:divBdr>
    </w:div>
    <w:div w:id="380174822">
      <w:bodyDiv w:val="1"/>
      <w:marLeft w:val="0"/>
      <w:marRight w:val="0"/>
      <w:marTop w:val="0"/>
      <w:marBottom w:val="0"/>
      <w:divBdr>
        <w:top w:val="none" w:sz="0" w:space="0" w:color="auto"/>
        <w:left w:val="none" w:sz="0" w:space="0" w:color="auto"/>
        <w:bottom w:val="none" w:sz="0" w:space="0" w:color="auto"/>
        <w:right w:val="none" w:sz="0" w:space="0" w:color="auto"/>
      </w:divBdr>
    </w:div>
    <w:div w:id="390083126">
      <w:bodyDiv w:val="1"/>
      <w:marLeft w:val="0"/>
      <w:marRight w:val="0"/>
      <w:marTop w:val="0"/>
      <w:marBottom w:val="0"/>
      <w:divBdr>
        <w:top w:val="none" w:sz="0" w:space="0" w:color="auto"/>
        <w:left w:val="none" w:sz="0" w:space="0" w:color="auto"/>
        <w:bottom w:val="none" w:sz="0" w:space="0" w:color="auto"/>
        <w:right w:val="none" w:sz="0" w:space="0" w:color="auto"/>
      </w:divBdr>
    </w:div>
    <w:div w:id="402220241">
      <w:bodyDiv w:val="1"/>
      <w:marLeft w:val="0"/>
      <w:marRight w:val="0"/>
      <w:marTop w:val="0"/>
      <w:marBottom w:val="0"/>
      <w:divBdr>
        <w:top w:val="none" w:sz="0" w:space="0" w:color="auto"/>
        <w:left w:val="none" w:sz="0" w:space="0" w:color="auto"/>
        <w:bottom w:val="none" w:sz="0" w:space="0" w:color="auto"/>
        <w:right w:val="none" w:sz="0" w:space="0" w:color="auto"/>
      </w:divBdr>
    </w:div>
    <w:div w:id="402917879">
      <w:bodyDiv w:val="1"/>
      <w:marLeft w:val="0"/>
      <w:marRight w:val="0"/>
      <w:marTop w:val="0"/>
      <w:marBottom w:val="0"/>
      <w:divBdr>
        <w:top w:val="none" w:sz="0" w:space="0" w:color="auto"/>
        <w:left w:val="none" w:sz="0" w:space="0" w:color="auto"/>
        <w:bottom w:val="none" w:sz="0" w:space="0" w:color="auto"/>
        <w:right w:val="none" w:sz="0" w:space="0" w:color="auto"/>
      </w:divBdr>
    </w:div>
    <w:div w:id="423694868">
      <w:bodyDiv w:val="1"/>
      <w:marLeft w:val="0"/>
      <w:marRight w:val="0"/>
      <w:marTop w:val="0"/>
      <w:marBottom w:val="0"/>
      <w:divBdr>
        <w:top w:val="none" w:sz="0" w:space="0" w:color="auto"/>
        <w:left w:val="none" w:sz="0" w:space="0" w:color="auto"/>
        <w:bottom w:val="none" w:sz="0" w:space="0" w:color="auto"/>
        <w:right w:val="none" w:sz="0" w:space="0" w:color="auto"/>
      </w:divBdr>
    </w:div>
    <w:div w:id="431558853">
      <w:bodyDiv w:val="1"/>
      <w:marLeft w:val="0"/>
      <w:marRight w:val="0"/>
      <w:marTop w:val="0"/>
      <w:marBottom w:val="0"/>
      <w:divBdr>
        <w:top w:val="none" w:sz="0" w:space="0" w:color="auto"/>
        <w:left w:val="none" w:sz="0" w:space="0" w:color="auto"/>
        <w:bottom w:val="none" w:sz="0" w:space="0" w:color="auto"/>
        <w:right w:val="none" w:sz="0" w:space="0" w:color="auto"/>
      </w:divBdr>
    </w:div>
    <w:div w:id="500200991">
      <w:bodyDiv w:val="1"/>
      <w:marLeft w:val="0"/>
      <w:marRight w:val="0"/>
      <w:marTop w:val="0"/>
      <w:marBottom w:val="0"/>
      <w:divBdr>
        <w:top w:val="none" w:sz="0" w:space="0" w:color="auto"/>
        <w:left w:val="none" w:sz="0" w:space="0" w:color="auto"/>
        <w:bottom w:val="none" w:sz="0" w:space="0" w:color="auto"/>
        <w:right w:val="none" w:sz="0" w:space="0" w:color="auto"/>
      </w:divBdr>
    </w:div>
    <w:div w:id="529148160">
      <w:bodyDiv w:val="1"/>
      <w:marLeft w:val="0"/>
      <w:marRight w:val="0"/>
      <w:marTop w:val="0"/>
      <w:marBottom w:val="0"/>
      <w:divBdr>
        <w:top w:val="none" w:sz="0" w:space="0" w:color="auto"/>
        <w:left w:val="none" w:sz="0" w:space="0" w:color="auto"/>
        <w:bottom w:val="none" w:sz="0" w:space="0" w:color="auto"/>
        <w:right w:val="none" w:sz="0" w:space="0" w:color="auto"/>
      </w:divBdr>
    </w:div>
    <w:div w:id="536238579">
      <w:bodyDiv w:val="1"/>
      <w:marLeft w:val="0"/>
      <w:marRight w:val="0"/>
      <w:marTop w:val="0"/>
      <w:marBottom w:val="0"/>
      <w:divBdr>
        <w:top w:val="none" w:sz="0" w:space="0" w:color="auto"/>
        <w:left w:val="none" w:sz="0" w:space="0" w:color="auto"/>
        <w:bottom w:val="none" w:sz="0" w:space="0" w:color="auto"/>
        <w:right w:val="none" w:sz="0" w:space="0" w:color="auto"/>
      </w:divBdr>
    </w:div>
    <w:div w:id="541209324">
      <w:bodyDiv w:val="1"/>
      <w:marLeft w:val="0"/>
      <w:marRight w:val="0"/>
      <w:marTop w:val="0"/>
      <w:marBottom w:val="0"/>
      <w:divBdr>
        <w:top w:val="none" w:sz="0" w:space="0" w:color="auto"/>
        <w:left w:val="none" w:sz="0" w:space="0" w:color="auto"/>
        <w:bottom w:val="none" w:sz="0" w:space="0" w:color="auto"/>
        <w:right w:val="none" w:sz="0" w:space="0" w:color="auto"/>
      </w:divBdr>
    </w:div>
    <w:div w:id="544487294">
      <w:bodyDiv w:val="1"/>
      <w:marLeft w:val="0"/>
      <w:marRight w:val="0"/>
      <w:marTop w:val="0"/>
      <w:marBottom w:val="0"/>
      <w:divBdr>
        <w:top w:val="none" w:sz="0" w:space="0" w:color="auto"/>
        <w:left w:val="none" w:sz="0" w:space="0" w:color="auto"/>
        <w:bottom w:val="none" w:sz="0" w:space="0" w:color="auto"/>
        <w:right w:val="none" w:sz="0" w:space="0" w:color="auto"/>
      </w:divBdr>
    </w:div>
    <w:div w:id="551505688">
      <w:bodyDiv w:val="1"/>
      <w:marLeft w:val="0"/>
      <w:marRight w:val="0"/>
      <w:marTop w:val="0"/>
      <w:marBottom w:val="0"/>
      <w:divBdr>
        <w:top w:val="none" w:sz="0" w:space="0" w:color="auto"/>
        <w:left w:val="none" w:sz="0" w:space="0" w:color="auto"/>
        <w:bottom w:val="none" w:sz="0" w:space="0" w:color="auto"/>
        <w:right w:val="none" w:sz="0" w:space="0" w:color="auto"/>
      </w:divBdr>
    </w:div>
    <w:div w:id="596255717">
      <w:bodyDiv w:val="1"/>
      <w:marLeft w:val="0"/>
      <w:marRight w:val="0"/>
      <w:marTop w:val="0"/>
      <w:marBottom w:val="0"/>
      <w:divBdr>
        <w:top w:val="none" w:sz="0" w:space="0" w:color="auto"/>
        <w:left w:val="none" w:sz="0" w:space="0" w:color="auto"/>
        <w:bottom w:val="none" w:sz="0" w:space="0" w:color="auto"/>
        <w:right w:val="none" w:sz="0" w:space="0" w:color="auto"/>
      </w:divBdr>
    </w:div>
    <w:div w:id="602886221">
      <w:bodyDiv w:val="1"/>
      <w:marLeft w:val="0"/>
      <w:marRight w:val="0"/>
      <w:marTop w:val="0"/>
      <w:marBottom w:val="0"/>
      <w:divBdr>
        <w:top w:val="none" w:sz="0" w:space="0" w:color="auto"/>
        <w:left w:val="none" w:sz="0" w:space="0" w:color="auto"/>
        <w:bottom w:val="none" w:sz="0" w:space="0" w:color="auto"/>
        <w:right w:val="none" w:sz="0" w:space="0" w:color="auto"/>
      </w:divBdr>
    </w:div>
    <w:div w:id="616908393">
      <w:bodyDiv w:val="1"/>
      <w:marLeft w:val="0"/>
      <w:marRight w:val="0"/>
      <w:marTop w:val="0"/>
      <w:marBottom w:val="0"/>
      <w:divBdr>
        <w:top w:val="none" w:sz="0" w:space="0" w:color="auto"/>
        <w:left w:val="none" w:sz="0" w:space="0" w:color="auto"/>
        <w:bottom w:val="none" w:sz="0" w:space="0" w:color="auto"/>
        <w:right w:val="none" w:sz="0" w:space="0" w:color="auto"/>
      </w:divBdr>
    </w:div>
    <w:div w:id="654987731">
      <w:bodyDiv w:val="1"/>
      <w:marLeft w:val="0"/>
      <w:marRight w:val="0"/>
      <w:marTop w:val="0"/>
      <w:marBottom w:val="0"/>
      <w:divBdr>
        <w:top w:val="none" w:sz="0" w:space="0" w:color="auto"/>
        <w:left w:val="none" w:sz="0" w:space="0" w:color="auto"/>
        <w:bottom w:val="none" w:sz="0" w:space="0" w:color="auto"/>
        <w:right w:val="none" w:sz="0" w:space="0" w:color="auto"/>
      </w:divBdr>
    </w:div>
    <w:div w:id="667756449">
      <w:bodyDiv w:val="1"/>
      <w:marLeft w:val="0"/>
      <w:marRight w:val="0"/>
      <w:marTop w:val="0"/>
      <w:marBottom w:val="0"/>
      <w:divBdr>
        <w:top w:val="none" w:sz="0" w:space="0" w:color="auto"/>
        <w:left w:val="none" w:sz="0" w:space="0" w:color="auto"/>
        <w:bottom w:val="none" w:sz="0" w:space="0" w:color="auto"/>
        <w:right w:val="none" w:sz="0" w:space="0" w:color="auto"/>
      </w:divBdr>
    </w:div>
    <w:div w:id="676464750">
      <w:bodyDiv w:val="1"/>
      <w:marLeft w:val="0"/>
      <w:marRight w:val="0"/>
      <w:marTop w:val="0"/>
      <w:marBottom w:val="0"/>
      <w:divBdr>
        <w:top w:val="none" w:sz="0" w:space="0" w:color="auto"/>
        <w:left w:val="none" w:sz="0" w:space="0" w:color="auto"/>
        <w:bottom w:val="none" w:sz="0" w:space="0" w:color="auto"/>
        <w:right w:val="none" w:sz="0" w:space="0" w:color="auto"/>
      </w:divBdr>
    </w:div>
    <w:div w:id="705254283">
      <w:bodyDiv w:val="1"/>
      <w:marLeft w:val="0"/>
      <w:marRight w:val="0"/>
      <w:marTop w:val="0"/>
      <w:marBottom w:val="0"/>
      <w:divBdr>
        <w:top w:val="none" w:sz="0" w:space="0" w:color="auto"/>
        <w:left w:val="none" w:sz="0" w:space="0" w:color="auto"/>
        <w:bottom w:val="none" w:sz="0" w:space="0" w:color="auto"/>
        <w:right w:val="none" w:sz="0" w:space="0" w:color="auto"/>
      </w:divBdr>
    </w:div>
    <w:div w:id="728000280">
      <w:bodyDiv w:val="1"/>
      <w:marLeft w:val="0"/>
      <w:marRight w:val="0"/>
      <w:marTop w:val="0"/>
      <w:marBottom w:val="0"/>
      <w:divBdr>
        <w:top w:val="none" w:sz="0" w:space="0" w:color="auto"/>
        <w:left w:val="none" w:sz="0" w:space="0" w:color="auto"/>
        <w:bottom w:val="none" w:sz="0" w:space="0" w:color="auto"/>
        <w:right w:val="none" w:sz="0" w:space="0" w:color="auto"/>
      </w:divBdr>
    </w:div>
    <w:div w:id="736174243">
      <w:bodyDiv w:val="1"/>
      <w:marLeft w:val="0"/>
      <w:marRight w:val="0"/>
      <w:marTop w:val="0"/>
      <w:marBottom w:val="0"/>
      <w:divBdr>
        <w:top w:val="none" w:sz="0" w:space="0" w:color="auto"/>
        <w:left w:val="none" w:sz="0" w:space="0" w:color="auto"/>
        <w:bottom w:val="none" w:sz="0" w:space="0" w:color="auto"/>
        <w:right w:val="none" w:sz="0" w:space="0" w:color="auto"/>
      </w:divBdr>
    </w:div>
    <w:div w:id="747727336">
      <w:bodyDiv w:val="1"/>
      <w:marLeft w:val="0"/>
      <w:marRight w:val="0"/>
      <w:marTop w:val="0"/>
      <w:marBottom w:val="0"/>
      <w:divBdr>
        <w:top w:val="none" w:sz="0" w:space="0" w:color="auto"/>
        <w:left w:val="none" w:sz="0" w:space="0" w:color="auto"/>
        <w:bottom w:val="none" w:sz="0" w:space="0" w:color="auto"/>
        <w:right w:val="none" w:sz="0" w:space="0" w:color="auto"/>
      </w:divBdr>
    </w:div>
    <w:div w:id="750471912">
      <w:bodyDiv w:val="1"/>
      <w:marLeft w:val="0"/>
      <w:marRight w:val="0"/>
      <w:marTop w:val="0"/>
      <w:marBottom w:val="0"/>
      <w:divBdr>
        <w:top w:val="none" w:sz="0" w:space="0" w:color="auto"/>
        <w:left w:val="none" w:sz="0" w:space="0" w:color="auto"/>
        <w:bottom w:val="none" w:sz="0" w:space="0" w:color="auto"/>
        <w:right w:val="none" w:sz="0" w:space="0" w:color="auto"/>
      </w:divBdr>
    </w:div>
    <w:div w:id="752052166">
      <w:bodyDiv w:val="1"/>
      <w:marLeft w:val="0"/>
      <w:marRight w:val="0"/>
      <w:marTop w:val="0"/>
      <w:marBottom w:val="0"/>
      <w:divBdr>
        <w:top w:val="none" w:sz="0" w:space="0" w:color="auto"/>
        <w:left w:val="none" w:sz="0" w:space="0" w:color="auto"/>
        <w:bottom w:val="none" w:sz="0" w:space="0" w:color="auto"/>
        <w:right w:val="none" w:sz="0" w:space="0" w:color="auto"/>
      </w:divBdr>
    </w:div>
    <w:div w:id="764884904">
      <w:bodyDiv w:val="1"/>
      <w:marLeft w:val="0"/>
      <w:marRight w:val="0"/>
      <w:marTop w:val="0"/>
      <w:marBottom w:val="0"/>
      <w:divBdr>
        <w:top w:val="none" w:sz="0" w:space="0" w:color="auto"/>
        <w:left w:val="none" w:sz="0" w:space="0" w:color="auto"/>
        <w:bottom w:val="none" w:sz="0" w:space="0" w:color="auto"/>
        <w:right w:val="none" w:sz="0" w:space="0" w:color="auto"/>
      </w:divBdr>
    </w:div>
    <w:div w:id="773864872">
      <w:bodyDiv w:val="1"/>
      <w:marLeft w:val="0"/>
      <w:marRight w:val="0"/>
      <w:marTop w:val="0"/>
      <w:marBottom w:val="0"/>
      <w:divBdr>
        <w:top w:val="none" w:sz="0" w:space="0" w:color="auto"/>
        <w:left w:val="none" w:sz="0" w:space="0" w:color="auto"/>
        <w:bottom w:val="none" w:sz="0" w:space="0" w:color="auto"/>
        <w:right w:val="none" w:sz="0" w:space="0" w:color="auto"/>
      </w:divBdr>
    </w:div>
    <w:div w:id="806094850">
      <w:bodyDiv w:val="1"/>
      <w:marLeft w:val="0"/>
      <w:marRight w:val="0"/>
      <w:marTop w:val="0"/>
      <w:marBottom w:val="0"/>
      <w:divBdr>
        <w:top w:val="none" w:sz="0" w:space="0" w:color="auto"/>
        <w:left w:val="none" w:sz="0" w:space="0" w:color="auto"/>
        <w:bottom w:val="none" w:sz="0" w:space="0" w:color="auto"/>
        <w:right w:val="none" w:sz="0" w:space="0" w:color="auto"/>
      </w:divBdr>
    </w:div>
    <w:div w:id="822964509">
      <w:bodyDiv w:val="1"/>
      <w:marLeft w:val="0"/>
      <w:marRight w:val="0"/>
      <w:marTop w:val="0"/>
      <w:marBottom w:val="0"/>
      <w:divBdr>
        <w:top w:val="none" w:sz="0" w:space="0" w:color="auto"/>
        <w:left w:val="none" w:sz="0" w:space="0" w:color="auto"/>
        <w:bottom w:val="none" w:sz="0" w:space="0" w:color="auto"/>
        <w:right w:val="none" w:sz="0" w:space="0" w:color="auto"/>
      </w:divBdr>
    </w:div>
    <w:div w:id="859320883">
      <w:bodyDiv w:val="1"/>
      <w:marLeft w:val="0"/>
      <w:marRight w:val="0"/>
      <w:marTop w:val="0"/>
      <w:marBottom w:val="0"/>
      <w:divBdr>
        <w:top w:val="none" w:sz="0" w:space="0" w:color="auto"/>
        <w:left w:val="none" w:sz="0" w:space="0" w:color="auto"/>
        <w:bottom w:val="none" w:sz="0" w:space="0" w:color="auto"/>
        <w:right w:val="none" w:sz="0" w:space="0" w:color="auto"/>
      </w:divBdr>
    </w:div>
    <w:div w:id="892960509">
      <w:bodyDiv w:val="1"/>
      <w:marLeft w:val="0"/>
      <w:marRight w:val="0"/>
      <w:marTop w:val="0"/>
      <w:marBottom w:val="0"/>
      <w:divBdr>
        <w:top w:val="none" w:sz="0" w:space="0" w:color="auto"/>
        <w:left w:val="none" w:sz="0" w:space="0" w:color="auto"/>
        <w:bottom w:val="none" w:sz="0" w:space="0" w:color="auto"/>
        <w:right w:val="none" w:sz="0" w:space="0" w:color="auto"/>
      </w:divBdr>
    </w:div>
    <w:div w:id="899023530">
      <w:bodyDiv w:val="1"/>
      <w:marLeft w:val="0"/>
      <w:marRight w:val="0"/>
      <w:marTop w:val="0"/>
      <w:marBottom w:val="0"/>
      <w:divBdr>
        <w:top w:val="none" w:sz="0" w:space="0" w:color="auto"/>
        <w:left w:val="none" w:sz="0" w:space="0" w:color="auto"/>
        <w:bottom w:val="none" w:sz="0" w:space="0" w:color="auto"/>
        <w:right w:val="none" w:sz="0" w:space="0" w:color="auto"/>
      </w:divBdr>
    </w:div>
    <w:div w:id="900288999">
      <w:bodyDiv w:val="1"/>
      <w:marLeft w:val="0"/>
      <w:marRight w:val="0"/>
      <w:marTop w:val="0"/>
      <w:marBottom w:val="0"/>
      <w:divBdr>
        <w:top w:val="none" w:sz="0" w:space="0" w:color="auto"/>
        <w:left w:val="none" w:sz="0" w:space="0" w:color="auto"/>
        <w:bottom w:val="none" w:sz="0" w:space="0" w:color="auto"/>
        <w:right w:val="none" w:sz="0" w:space="0" w:color="auto"/>
      </w:divBdr>
    </w:div>
    <w:div w:id="908417546">
      <w:bodyDiv w:val="1"/>
      <w:marLeft w:val="0"/>
      <w:marRight w:val="0"/>
      <w:marTop w:val="0"/>
      <w:marBottom w:val="0"/>
      <w:divBdr>
        <w:top w:val="none" w:sz="0" w:space="0" w:color="auto"/>
        <w:left w:val="none" w:sz="0" w:space="0" w:color="auto"/>
        <w:bottom w:val="none" w:sz="0" w:space="0" w:color="auto"/>
        <w:right w:val="none" w:sz="0" w:space="0" w:color="auto"/>
      </w:divBdr>
    </w:div>
    <w:div w:id="935527239">
      <w:bodyDiv w:val="1"/>
      <w:marLeft w:val="0"/>
      <w:marRight w:val="0"/>
      <w:marTop w:val="0"/>
      <w:marBottom w:val="0"/>
      <w:divBdr>
        <w:top w:val="none" w:sz="0" w:space="0" w:color="auto"/>
        <w:left w:val="none" w:sz="0" w:space="0" w:color="auto"/>
        <w:bottom w:val="none" w:sz="0" w:space="0" w:color="auto"/>
        <w:right w:val="none" w:sz="0" w:space="0" w:color="auto"/>
      </w:divBdr>
    </w:div>
    <w:div w:id="935595453">
      <w:bodyDiv w:val="1"/>
      <w:marLeft w:val="0"/>
      <w:marRight w:val="0"/>
      <w:marTop w:val="0"/>
      <w:marBottom w:val="0"/>
      <w:divBdr>
        <w:top w:val="none" w:sz="0" w:space="0" w:color="auto"/>
        <w:left w:val="none" w:sz="0" w:space="0" w:color="auto"/>
        <w:bottom w:val="none" w:sz="0" w:space="0" w:color="auto"/>
        <w:right w:val="none" w:sz="0" w:space="0" w:color="auto"/>
      </w:divBdr>
    </w:div>
    <w:div w:id="944844737">
      <w:bodyDiv w:val="1"/>
      <w:marLeft w:val="0"/>
      <w:marRight w:val="0"/>
      <w:marTop w:val="0"/>
      <w:marBottom w:val="0"/>
      <w:divBdr>
        <w:top w:val="none" w:sz="0" w:space="0" w:color="auto"/>
        <w:left w:val="none" w:sz="0" w:space="0" w:color="auto"/>
        <w:bottom w:val="none" w:sz="0" w:space="0" w:color="auto"/>
        <w:right w:val="none" w:sz="0" w:space="0" w:color="auto"/>
      </w:divBdr>
    </w:div>
    <w:div w:id="951285205">
      <w:bodyDiv w:val="1"/>
      <w:marLeft w:val="0"/>
      <w:marRight w:val="0"/>
      <w:marTop w:val="0"/>
      <w:marBottom w:val="0"/>
      <w:divBdr>
        <w:top w:val="none" w:sz="0" w:space="0" w:color="auto"/>
        <w:left w:val="none" w:sz="0" w:space="0" w:color="auto"/>
        <w:bottom w:val="none" w:sz="0" w:space="0" w:color="auto"/>
        <w:right w:val="none" w:sz="0" w:space="0" w:color="auto"/>
      </w:divBdr>
    </w:div>
    <w:div w:id="967509017">
      <w:bodyDiv w:val="1"/>
      <w:marLeft w:val="0"/>
      <w:marRight w:val="0"/>
      <w:marTop w:val="0"/>
      <w:marBottom w:val="0"/>
      <w:divBdr>
        <w:top w:val="none" w:sz="0" w:space="0" w:color="auto"/>
        <w:left w:val="none" w:sz="0" w:space="0" w:color="auto"/>
        <w:bottom w:val="none" w:sz="0" w:space="0" w:color="auto"/>
        <w:right w:val="none" w:sz="0" w:space="0" w:color="auto"/>
      </w:divBdr>
    </w:div>
    <w:div w:id="983657627">
      <w:bodyDiv w:val="1"/>
      <w:marLeft w:val="0"/>
      <w:marRight w:val="0"/>
      <w:marTop w:val="0"/>
      <w:marBottom w:val="0"/>
      <w:divBdr>
        <w:top w:val="none" w:sz="0" w:space="0" w:color="auto"/>
        <w:left w:val="none" w:sz="0" w:space="0" w:color="auto"/>
        <w:bottom w:val="none" w:sz="0" w:space="0" w:color="auto"/>
        <w:right w:val="none" w:sz="0" w:space="0" w:color="auto"/>
      </w:divBdr>
    </w:div>
    <w:div w:id="1008681110">
      <w:bodyDiv w:val="1"/>
      <w:marLeft w:val="0"/>
      <w:marRight w:val="0"/>
      <w:marTop w:val="0"/>
      <w:marBottom w:val="0"/>
      <w:divBdr>
        <w:top w:val="none" w:sz="0" w:space="0" w:color="auto"/>
        <w:left w:val="none" w:sz="0" w:space="0" w:color="auto"/>
        <w:bottom w:val="none" w:sz="0" w:space="0" w:color="auto"/>
        <w:right w:val="none" w:sz="0" w:space="0" w:color="auto"/>
      </w:divBdr>
    </w:div>
    <w:div w:id="1020662817">
      <w:bodyDiv w:val="1"/>
      <w:marLeft w:val="0"/>
      <w:marRight w:val="0"/>
      <w:marTop w:val="0"/>
      <w:marBottom w:val="0"/>
      <w:divBdr>
        <w:top w:val="none" w:sz="0" w:space="0" w:color="auto"/>
        <w:left w:val="none" w:sz="0" w:space="0" w:color="auto"/>
        <w:bottom w:val="none" w:sz="0" w:space="0" w:color="auto"/>
        <w:right w:val="none" w:sz="0" w:space="0" w:color="auto"/>
      </w:divBdr>
    </w:div>
    <w:div w:id="1045063260">
      <w:bodyDiv w:val="1"/>
      <w:marLeft w:val="0"/>
      <w:marRight w:val="0"/>
      <w:marTop w:val="0"/>
      <w:marBottom w:val="0"/>
      <w:divBdr>
        <w:top w:val="none" w:sz="0" w:space="0" w:color="auto"/>
        <w:left w:val="none" w:sz="0" w:space="0" w:color="auto"/>
        <w:bottom w:val="none" w:sz="0" w:space="0" w:color="auto"/>
        <w:right w:val="none" w:sz="0" w:space="0" w:color="auto"/>
      </w:divBdr>
    </w:div>
    <w:div w:id="1051416820">
      <w:bodyDiv w:val="1"/>
      <w:marLeft w:val="0"/>
      <w:marRight w:val="0"/>
      <w:marTop w:val="0"/>
      <w:marBottom w:val="0"/>
      <w:divBdr>
        <w:top w:val="none" w:sz="0" w:space="0" w:color="auto"/>
        <w:left w:val="none" w:sz="0" w:space="0" w:color="auto"/>
        <w:bottom w:val="none" w:sz="0" w:space="0" w:color="auto"/>
        <w:right w:val="none" w:sz="0" w:space="0" w:color="auto"/>
      </w:divBdr>
    </w:div>
    <w:div w:id="1053844310">
      <w:bodyDiv w:val="1"/>
      <w:marLeft w:val="0"/>
      <w:marRight w:val="0"/>
      <w:marTop w:val="0"/>
      <w:marBottom w:val="0"/>
      <w:divBdr>
        <w:top w:val="none" w:sz="0" w:space="0" w:color="auto"/>
        <w:left w:val="none" w:sz="0" w:space="0" w:color="auto"/>
        <w:bottom w:val="none" w:sz="0" w:space="0" w:color="auto"/>
        <w:right w:val="none" w:sz="0" w:space="0" w:color="auto"/>
      </w:divBdr>
    </w:div>
    <w:div w:id="1055200587">
      <w:bodyDiv w:val="1"/>
      <w:marLeft w:val="0"/>
      <w:marRight w:val="0"/>
      <w:marTop w:val="0"/>
      <w:marBottom w:val="0"/>
      <w:divBdr>
        <w:top w:val="none" w:sz="0" w:space="0" w:color="auto"/>
        <w:left w:val="none" w:sz="0" w:space="0" w:color="auto"/>
        <w:bottom w:val="none" w:sz="0" w:space="0" w:color="auto"/>
        <w:right w:val="none" w:sz="0" w:space="0" w:color="auto"/>
      </w:divBdr>
      <w:divsChild>
        <w:div w:id="1952087951">
          <w:marLeft w:val="0"/>
          <w:marRight w:val="0"/>
          <w:marTop w:val="0"/>
          <w:marBottom w:val="0"/>
          <w:divBdr>
            <w:top w:val="none" w:sz="0" w:space="0" w:color="auto"/>
            <w:left w:val="none" w:sz="0" w:space="0" w:color="auto"/>
            <w:bottom w:val="none" w:sz="0" w:space="0" w:color="auto"/>
            <w:right w:val="none" w:sz="0" w:space="0" w:color="auto"/>
          </w:divBdr>
        </w:div>
        <w:div w:id="1255938371">
          <w:marLeft w:val="0"/>
          <w:marRight w:val="0"/>
          <w:marTop w:val="0"/>
          <w:marBottom w:val="0"/>
          <w:divBdr>
            <w:top w:val="none" w:sz="0" w:space="0" w:color="auto"/>
            <w:left w:val="none" w:sz="0" w:space="0" w:color="auto"/>
            <w:bottom w:val="none" w:sz="0" w:space="0" w:color="auto"/>
            <w:right w:val="none" w:sz="0" w:space="0" w:color="auto"/>
          </w:divBdr>
        </w:div>
      </w:divsChild>
    </w:div>
    <w:div w:id="1106659321">
      <w:bodyDiv w:val="1"/>
      <w:marLeft w:val="0"/>
      <w:marRight w:val="0"/>
      <w:marTop w:val="0"/>
      <w:marBottom w:val="0"/>
      <w:divBdr>
        <w:top w:val="none" w:sz="0" w:space="0" w:color="auto"/>
        <w:left w:val="none" w:sz="0" w:space="0" w:color="auto"/>
        <w:bottom w:val="none" w:sz="0" w:space="0" w:color="auto"/>
        <w:right w:val="none" w:sz="0" w:space="0" w:color="auto"/>
      </w:divBdr>
    </w:div>
    <w:div w:id="1110126344">
      <w:bodyDiv w:val="1"/>
      <w:marLeft w:val="0"/>
      <w:marRight w:val="0"/>
      <w:marTop w:val="0"/>
      <w:marBottom w:val="0"/>
      <w:divBdr>
        <w:top w:val="none" w:sz="0" w:space="0" w:color="auto"/>
        <w:left w:val="none" w:sz="0" w:space="0" w:color="auto"/>
        <w:bottom w:val="none" w:sz="0" w:space="0" w:color="auto"/>
        <w:right w:val="none" w:sz="0" w:space="0" w:color="auto"/>
      </w:divBdr>
    </w:div>
    <w:div w:id="1126310663">
      <w:bodyDiv w:val="1"/>
      <w:marLeft w:val="0"/>
      <w:marRight w:val="0"/>
      <w:marTop w:val="0"/>
      <w:marBottom w:val="0"/>
      <w:divBdr>
        <w:top w:val="none" w:sz="0" w:space="0" w:color="auto"/>
        <w:left w:val="none" w:sz="0" w:space="0" w:color="auto"/>
        <w:bottom w:val="none" w:sz="0" w:space="0" w:color="auto"/>
        <w:right w:val="none" w:sz="0" w:space="0" w:color="auto"/>
      </w:divBdr>
    </w:div>
    <w:div w:id="1127625377">
      <w:bodyDiv w:val="1"/>
      <w:marLeft w:val="0"/>
      <w:marRight w:val="0"/>
      <w:marTop w:val="0"/>
      <w:marBottom w:val="0"/>
      <w:divBdr>
        <w:top w:val="none" w:sz="0" w:space="0" w:color="auto"/>
        <w:left w:val="none" w:sz="0" w:space="0" w:color="auto"/>
        <w:bottom w:val="none" w:sz="0" w:space="0" w:color="auto"/>
        <w:right w:val="none" w:sz="0" w:space="0" w:color="auto"/>
      </w:divBdr>
    </w:div>
    <w:div w:id="1185940390">
      <w:bodyDiv w:val="1"/>
      <w:marLeft w:val="0"/>
      <w:marRight w:val="0"/>
      <w:marTop w:val="0"/>
      <w:marBottom w:val="0"/>
      <w:divBdr>
        <w:top w:val="none" w:sz="0" w:space="0" w:color="auto"/>
        <w:left w:val="none" w:sz="0" w:space="0" w:color="auto"/>
        <w:bottom w:val="none" w:sz="0" w:space="0" w:color="auto"/>
        <w:right w:val="none" w:sz="0" w:space="0" w:color="auto"/>
      </w:divBdr>
    </w:div>
    <w:div w:id="1234656726">
      <w:bodyDiv w:val="1"/>
      <w:marLeft w:val="0"/>
      <w:marRight w:val="0"/>
      <w:marTop w:val="0"/>
      <w:marBottom w:val="0"/>
      <w:divBdr>
        <w:top w:val="none" w:sz="0" w:space="0" w:color="auto"/>
        <w:left w:val="none" w:sz="0" w:space="0" w:color="auto"/>
        <w:bottom w:val="none" w:sz="0" w:space="0" w:color="auto"/>
        <w:right w:val="none" w:sz="0" w:space="0" w:color="auto"/>
      </w:divBdr>
    </w:div>
    <w:div w:id="1235700471">
      <w:bodyDiv w:val="1"/>
      <w:marLeft w:val="0"/>
      <w:marRight w:val="0"/>
      <w:marTop w:val="0"/>
      <w:marBottom w:val="0"/>
      <w:divBdr>
        <w:top w:val="none" w:sz="0" w:space="0" w:color="auto"/>
        <w:left w:val="none" w:sz="0" w:space="0" w:color="auto"/>
        <w:bottom w:val="none" w:sz="0" w:space="0" w:color="auto"/>
        <w:right w:val="none" w:sz="0" w:space="0" w:color="auto"/>
      </w:divBdr>
    </w:div>
    <w:div w:id="1246181924">
      <w:bodyDiv w:val="1"/>
      <w:marLeft w:val="0"/>
      <w:marRight w:val="0"/>
      <w:marTop w:val="0"/>
      <w:marBottom w:val="0"/>
      <w:divBdr>
        <w:top w:val="none" w:sz="0" w:space="0" w:color="auto"/>
        <w:left w:val="none" w:sz="0" w:space="0" w:color="auto"/>
        <w:bottom w:val="none" w:sz="0" w:space="0" w:color="auto"/>
        <w:right w:val="none" w:sz="0" w:space="0" w:color="auto"/>
      </w:divBdr>
    </w:div>
    <w:div w:id="1246644017">
      <w:bodyDiv w:val="1"/>
      <w:marLeft w:val="0"/>
      <w:marRight w:val="0"/>
      <w:marTop w:val="0"/>
      <w:marBottom w:val="0"/>
      <w:divBdr>
        <w:top w:val="none" w:sz="0" w:space="0" w:color="auto"/>
        <w:left w:val="none" w:sz="0" w:space="0" w:color="auto"/>
        <w:bottom w:val="none" w:sz="0" w:space="0" w:color="auto"/>
        <w:right w:val="none" w:sz="0" w:space="0" w:color="auto"/>
      </w:divBdr>
    </w:div>
    <w:div w:id="1259674980">
      <w:bodyDiv w:val="1"/>
      <w:marLeft w:val="0"/>
      <w:marRight w:val="0"/>
      <w:marTop w:val="0"/>
      <w:marBottom w:val="0"/>
      <w:divBdr>
        <w:top w:val="none" w:sz="0" w:space="0" w:color="auto"/>
        <w:left w:val="none" w:sz="0" w:space="0" w:color="auto"/>
        <w:bottom w:val="none" w:sz="0" w:space="0" w:color="auto"/>
        <w:right w:val="none" w:sz="0" w:space="0" w:color="auto"/>
      </w:divBdr>
    </w:div>
    <w:div w:id="1275558879">
      <w:bodyDiv w:val="1"/>
      <w:marLeft w:val="0"/>
      <w:marRight w:val="0"/>
      <w:marTop w:val="0"/>
      <w:marBottom w:val="0"/>
      <w:divBdr>
        <w:top w:val="none" w:sz="0" w:space="0" w:color="auto"/>
        <w:left w:val="none" w:sz="0" w:space="0" w:color="auto"/>
        <w:bottom w:val="none" w:sz="0" w:space="0" w:color="auto"/>
        <w:right w:val="none" w:sz="0" w:space="0" w:color="auto"/>
      </w:divBdr>
    </w:div>
    <w:div w:id="1288009490">
      <w:bodyDiv w:val="1"/>
      <w:marLeft w:val="0"/>
      <w:marRight w:val="0"/>
      <w:marTop w:val="0"/>
      <w:marBottom w:val="0"/>
      <w:divBdr>
        <w:top w:val="none" w:sz="0" w:space="0" w:color="auto"/>
        <w:left w:val="none" w:sz="0" w:space="0" w:color="auto"/>
        <w:bottom w:val="none" w:sz="0" w:space="0" w:color="auto"/>
        <w:right w:val="none" w:sz="0" w:space="0" w:color="auto"/>
      </w:divBdr>
    </w:div>
    <w:div w:id="1321618409">
      <w:bodyDiv w:val="1"/>
      <w:marLeft w:val="0"/>
      <w:marRight w:val="0"/>
      <w:marTop w:val="0"/>
      <w:marBottom w:val="0"/>
      <w:divBdr>
        <w:top w:val="none" w:sz="0" w:space="0" w:color="auto"/>
        <w:left w:val="none" w:sz="0" w:space="0" w:color="auto"/>
        <w:bottom w:val="none" w:sz="0" w:space="0" w:color="auto"/>
        <w:right w:val="none" w:sz="0" w:space="0" w:color="auto"/>
      </w:divBdr>
    </w:div>
    <w:div w:id="1383554783">
      <w:bodyDiv w:val="1"/>
      <w:marLeft w:val="0"/>
      <w:marRight w:val="0"/>
      <w:marTop w:val="0"/>
      <w:marBottom w:val="0"/>
      <w:divBdr>
        <w:top w:val="none" w:sz="0" w:space="0" w:color="auto"/>
        <w:left w:val="none" w:sz="0" w:space="0" w:color="auto"/>
        <w:bottom w:val="none" w:sz="0" w:space="0" w:color="auto"/>
        <w:right w:val="none" w:sz="0" w:space="0" w:color="auto"/>
      </w:divBdr>
    </w:div>
    <w:div w:id="1391613556">
      <w:bodyDiv w:val="1"/>
      <w:marLeft w:val="0"/>
      <w:marRight w:val="0"/>
      <w:marTop w:val="0"/>
      <w:marBottom w:val="0"/>
      <w:divBdr>
        <w:top w:val="none" w:sz="0" w:space="0" w:color="auto"/>
        <w:left w:val="none" w:sz="0" w:space="0" w:color="auto"/>
        <w:bottom w:val="none" w:sz="0" w:space="0" w:color="auto"/>
        <w:right w:val="none" w:sz="0" w:space="0" w:color="auto"/>
      </w:divBdr>
    </w:div>
    <w:div w:id="1393044624">
      <w:bodyDiv w:val="1"/>
      <w:marLeft w:val="0"/>
      <w:marRight w:val="0"/>
      <w:marTop w:val="0"/>
      <w:marBottom w:val="0"/>
      <w:divBdr>
        <w:top w:val="none" w:sz="0" w:space="0" w:color="auto"/>
        <w:left w:val="none" w:sz="0" w:space="0" w:color="auto"/>
        <w:bottom w:val="none" w:sz="0" w:space="0" w:color="auto"/>
        <w:right w:val="none" w:sz="0" w:space="0" w:color="auto"/>
      </w:divBdr>
    </w:div>
    <w:div w:id="1418793596">
      <w:bodyDiv w:val="1"/>
      <w:marLeft w:val="0"/>
      <w:marRight w:val="0"/>
      <w:marTop w:val="0"/>
      <w:marBottom w:val="0"/>
      <w:divBdr>
        <w:top w:val="none" w:sz="0" w:space="0" w:color="auto"/>
        <w:left w:val="none" w:sz="0" w:space="0" w:color="auto"/>
        <w:bottom w:val="none" w:sz="0" w:space="0" w:color="auto"/>
        <w:right w:val="none" w:sz="0" w:space="0" w:color="auto"/>
      </w:divBdr>
    </w:div>
    <w:div w:id="1440953249">
      <w:bodyDiv w:val="1"/>
      <w:marLeft w:val="0"/>
      <w:marRight w:val="0"/>
      <w:marTop w:val="0"/>
      <w:marBottom w:val="0"/>
      <w:divBdr>
        <w:top w:val="none" w:sz="0" w:space="0" w:color="auto"/>
        <w:left w:val="none" w:sz="0" w:space="0" w:color="auto"/>
        <w:bottom w:val="none" w:sz="0" w:space="0" w:color="auto"/>
        <w:right w:val="none" w:sz="0" w:space="0" w:color="auto"/>
      </w:divBdr>
    </w:div>
    <w:div w:id="1447624876">
      <w:bodyDiv w:val="1"/>
      <w:marLeft w:val="0"/>
      <w:marRight w:val="0"/>
      <w:marTop w:val="0"/>
      <w:marBottom w:val="0"/>
      <w:divBdr>
        <w:top w:val="none" w:sz="0" w:space="0" w:color="auto"/>
        <w:left w:val="none" w:sz="0" w:space="0" w:color="auto"/>
        <w:bottom w:val="none" w:sz="0" w:space="0" w:color="auto"/>
        <w:right w:val="none" w:sz="0" w:space="0" w:color="auto"/>
      </w:divBdr>
    </w:div>
    <w:div w:id="1544519521">
      <w:bodyDiv w:val="1"/>
      <w:marLeft w:val="0"/>
      <w:marRight w:val="0"/>
      <w:marTop w:val="0"/>
      <w:marBottom w:val="0"/>
      <w:divBdr>
        <w:top w:val="none" w:sz="0" w:space="0" w:color="auto"/>
        <w:left w:val="none" w:sz="0" w:space="0" w:color="auto"/>
        <w:bottom w:val="none" w:sz="0" w:space="0" w:color="auto"/>
        <w:right w:val="none" w:sz="0" w:space="0" w:color="auto"/>
      </w:divBdr>
    </w:div>
    <w:div w:id="1578050805">
      <w:bodyDiv w:val="1"/>
      <w:marLeft w:val="0"/>
      <w:marRight w:val="0"/>
      <w:marTop w:val="0"/>
      <w:marBottom w:val="0"/>
      <w:divBdr>
        <w:top w:val="none" w:sz="0" w:space="0" w:color="auto"/>
        <w:left w:val="none" w:sz="0" w:space="0" w:color="auto"/>
        <w:bottom w:val="none" w:sz="0" w:space="0" w:color="auto"/>
        <w:right w:val="none" w:sz="0" w:space="0" w:color="auto"/>
      </w:divBdr>
    </w:div>
    <w:div w:id="1606814281">
      <w:bodyDiv w:val="1"/>
      <w:marLeft w:val="0"/>
      <w:marRight w:val="0"/>
      <w:marTop w:val="0"/>
      <w:marBottom w:val="0"/>
      <w:divBdr>
        <w:top w:val="none" w:sz="0" w:space="0" w:color="auto"/>
        <w:left w:val="none" w:sz="0" w:space="0" w:color="auto"/>
        <w:bottom w:val="none" w:sz="0" w:space="0" w:color="auto"/>
        <w:right w:val="none" w:sz="0" w:space="0" w:color="auto"/>
      </w:divBdr>
    </w:div>
    <w:div w:id="1611737331">
      <w:bodyDiv w:val="1"/>
      <w:marLeft w:val="0"/>
      <w:marRight w:val="0"/>
      <w:marTop w:val="0"/>
      <w:marBottom w:val="0"/>
      <w:divBdr>
        <w:top w:val="none" w:sz="0" w:space="0" w:color="auto"/>
        <w:left w:val="none" w:sz="0" w:space="0" w:color="auto"/>
        <w:bottom w:val="none" w:sz="0" w:space="0" w:color="auto"/>
        <w:right w:val="none" w:sz="0" w:space="0" w:color="auto"/>
      </w:divBdr>
    </w:div>
    <w:div w:id="1619528275">
      <w:bodyDiv w:val="1"/>
      <w:marLeft w:val="0"/>
      <w:marRight w:val="0"/>
      <w:marTop w:val="0"/>
      <w:marBottom w:val="0"/>
      <w:divBdr>
        <w:top w:val="none" w:sz="0" w:space="0" w:color="auto"/>
        <w:left w:val="none" w:sz="0" w:space="0" w:color="auto"/>
        <w:bottom w:val="none" w:sz="0" w:space="0" w:color="auto"/>
        <w:right w:val="none" w:sz="0" w:space="0" w:color="auto"/>
      </w:divBdr>
    </w:div>
    <w:div w:id="1647082274">
      <w:bodyDiv w:val="1"/>
      <w:marLeft w:val="0"/>
      <w:marRight w:val="0"/>
      <w:marTop w:val="0"/>
      <w:marBottom w:val="0"/>
      <w:divBdr>
        <w:top w:val="none" w:sz="0" w:space="0" w:color="auto"/>
        <w:left w:val="none" w:sz="0" w:space="0" w:color="auto"/>
        <w:bottom w:val="none" w:sz="0" w:space="0" w:color="auto"/>
        <w:right w:val="none" w:sz="0" w:space="0" w:color="auto"/>
      </w:divBdr>
    </w:div>
    <w:div w:id="1663310197">
      <w:bodyDiv w:val="1"/>
      <w:marLeft w:val="0"/>
      <w:marRight w:val="0"/>
      <w:marTop w:val="0"/>
      <w:marBottom w:val="0"/>
      <w:divBdr>
        <w:top w:val="none" w:sz="0" w:space="0" w:color="auto"/>
        <w:left w:val="none" w:sz="0" w:space="0" w:color="auto"/>
        <w:bottom w:val="none" w:sz="0" w:space="0" w:color="auto"/>
        <w:right w:val="none" w:sz="0" w:space="0" w:color="auto"/>
      </w:divBdr>
    </w:div>
    <w:div w:id="1682048673">
      <w:bodyDiv w:val="1"/>
      <w:marLeft w:val="0"/>
      <w:marRight w:val="0"/>
      <w:marTop w:val="0"/>
      <w:marBottom w:val="0"/>
      <w:divBdr>
        <w:top w:val="none" w:sz="0" w:space="0" w:color="auto"/>
        <w:left w:val="none" w:sz="0" w:space="0" w:color="auto"/>
        <w:bottom w:val="none" w:sz="0" w:space="0" w:color="auto"/>
        <w:right w:val="none" w:sz="0" w:space="0" w:color="auto"/>
      </w:divBdr>
    </w:div>
    <w:div w:id="1683388338">
      <w:bodyDiv w:val="1"/>
      <w:marLeft w:val="0"/>
      <w:marRight w:val="0"/>
      <w:marTop w:val="0"/>
      <w:marBottom w:val="0"/>
      <w:divBdr>
        <w:top w:val="none" w:sz="0" w:space="0" w:color="auto"/>
        <w:left w:val="none" w:sz="0" w:space="0" w:color="auto"/>
        <w:bottom w:val="none" w:sz="0" w:space="0" w:color="auto"/>
        <w:right w:val="none" w:sz="0" w:space="0" w:color="auto"/>
      </w:divBdr>
    </w:div>
    <w:div w:id="1694989404">
      <w:bodyDiv w:val="1"/>
      <w:marLeft w:val="0"/>
      <w:marRight w:val="0"/>
      <w:marTop w:val="0"/>
      <w:marBottom w:val="0"/>
      <w:divBdr>
        <w:top w:val="none" w:sz="0" w:space="0" w:color="auto"/>
        <w:left w:val="none" w:sz="0" w:space="0" w:color="auto"/>
        <w:bottom w:val="none" w:sz="0" w:space="0" w:color="auto"/>
        <w:right w:val="none" w:sz="0" w:space="0" w:color="auto"/>
      </w:divBdr>
    </w:div>
    <w:div w:id="1697195469">
      <w:bodyDiv w:val="1"/>
      <w:marLeft w:val="0"/>
      <w:marRight w:val="0"/>
      <w:marTop w:val="0"/>
      <w:marBottom w:val="0"/>
      <w:divBdr>
        <w:top w:val="none" w:sz="0" w:space="0" w:color="auto"/>
        <w:left w:val="none" w:sz="0" w:space="0" w:color="auto"/>
        <w:bottom w:val="none" w:sz="0" w:space="0" w:color="auto"/>
        <w:right w:val="none" w:sz="0" w:space="0" w:color="auto"/>
      </w:divBdr>
    </w:div>
    <w:div w:id="1699234613">
      <w:bodyDiv w:val="1"/>
      <w:marLeft w:val="0"/>
      <w:marRight w:val="0"/>
      <w:marTop w:val="0"/>
      <w:marBottom w:val="0"/>
      <w:divBdr>
        <w:top w:val="none" w:sz="0" w:space="0" w:color="auto"/>
        <w:left w:val="none" w:sz="0" w:space="0" w:color="auto"/>
        <w:bottom w:val="none" w:sz="0" w:space="0" w:color="auto"/>
        <w:right w:val="none" w:sz="0" w:space="0" w:color="auto"/>
      </w:divBdr>
    </w:div>
    <w:div w:id="1708289258">
      <w:bodyDiv w:val="1"/>
      <w:marLeft w:val="0"/>
      <w:marRight w:val="0"/>
      <w:marTop w:val="0"/>
      <w:marBottom w:val="0"/>
      <w:divBdr>
        <w:top w:val="none" w:sz="0" w:space="0" w:color="auto"/>
        <w:left w:val="none" w:sz="0" w:space="0" w:color="auto"/>
        <w:bottom w:val="none" w:sz="0" w:space="0" w:color="auto"/>
        <w:right w:val="none" w:sz="0" w:space="0" w:color="auto"/>
      </w:divBdr>
    </w:div>
    <w:div w:id="1753382658">
      <w:bodyDiv w:val="1"/>
      <w:marLeft w:val="0"/>
      <w:marRight w:val="0"/>
      <w:marTop w:val="0"/>
      <w:marBottom w:val="0"/>
      <w:divBdr>
        <w:top w:val="none" w:sz="0" w:space="0" w:color="auto"/>
        <w:left w:val="none" w:sz="0" w:space="0" w:color="auto"/>
        <w:bottom w:val="none" w:sz="0" w:space="0" w:color="auto"/>
        <w:right w:val="none" w:sz="0" w:space="0" w:color="auto"/>
      </w:divBdr>
    </w:div>
    <w:div w:id="1753504269">
      <w:bodyDiv w:val="1"/>
      <w:marLeft w:val="0"/>
      <w:marRight w:val="0"/>
      <w:marTop w:val="0"/>
      <w:marBottom w:val="0"/>
      <w:divBdr>
        <w:top w:val="none" w:sz="0" w:space="0" w:color="auto"/>
        <w:left w:val="none" w:sz="0" w:space="0" w:color="auto"/>
        <w:bottom w:val="none" w:sz="0" w:space="0" w:color="auto"/>
        <w:right w:val="none" w:sz="0" w:space="0" w:color="auto"/>
      </w:divBdr>
    </w:div>
    <w:div w:id="1758478962">
      <w:bodyDiv w:val="1"/>
      <w:marLeft w:val="0"/>
      <w:marRight w:val="0"/>
      <w:marTop w:val="0"/>
      <w:marBottom w:val="0"/>
      <w:divBdr>
        <w:top w:val="none" w:sz="0" w:space="0" w:color="auto"/>
        <w:left w:val="none" w:sz="0" w:space="0" w:color="auto"/>
        <w:bottom w:val="none" w:sz="0" w:space="0" w:color="auto"/>
        <w:right w:val="none" w:sz="0" w:space="0" w:color="auto"/>
      </w:divBdr>
    </w:div>
    <w:div w:id="1770465493">
      <w:bodyDiv w:val="1"/>
      <w:marLeft w:val="0"/>
      <w:marRight w:val="0"/>
      <w:marTop w:val="0"/>
      <w:marBottom w:val="0"/>
      <w:divBdr>
        <w:top w:val="none" w:sz="0" w:space="0" w:color="auto"/>
        <w:left w:val="none" w:sz="0" w:space="0" w:color="auto"/>
        <w:bottom w:val="none" w:sz="0" w:space="0" w:color="auto"/>
        <w:right w:val="none" w:sz="0" w:space="0" w:color="auto"/>
      </w:divBdr>
    </w:div>
    <w:div w:id="1773892007">
      <w:bodyDiv w:val="1"/>
      <w:marLeft w:val="0"/>
      <w:marRight w:val="0"/>
      <w:marTop w:val="0"/>
      <w:marBottom w:val="0"/>
      <w:divBdr>
        <w:top w:val="none" w:sz="0" w:space="0" w:color="auto"/>
        <w:left w:val="none" w:sz="0" w:space="0" w:color="auto"/>
        <w:bottom w:val="none" w:sz="0" w:space="0" w:color="auto"/>
        <w:right w:val="none" w:sz="0" w:space="0" w:color="auto"/>
      </w:divBdr>
    </w:div>
    <w:div w:id="1815683298">
      <w:bodyDiv w:val="1"/>
      <w:marLeft w:val="0"/>
      <w:marRight w:val="0"/>
      <w:marTop w:val="0"/>
      <w:marBottom w:val="0"/>
      <w:divBdr>
        <w:top w:val="none" w:sz="0" w:space="0" w:color="auto"/>
        <w:left w:val="none" w:sz="0" w:space="0" w:color="auto"/>
        <w:bottom w:val="none" w:sz="0" w:space="0" w:color="auto"/>
        <w:right w:val="none" w:sz="0" w:space="0" w:color="auto"/>
      </w:divBdr>
    </w:div>
    <w:div w:id="1860315013">
      <w:bodyDiv w:val="1"/>
      <w:marLeft w:val="0"/>
      <w:marRight w:val="0"/>
      <w:marTop w:val="0"/>
      <w:marBottom w:val="0"/>
      <w:divBdr>
        <w:top w:val="none" w:sz="0" w:space="0" w:color="auto"/>
        <w:left w:val="none" w:sz="0" w:space="0" w:color="auto"/>
        <w:bottom w:val="none" w:sz="0" w:space="0" w:color="auto"/>
        <w:right w:val="none" w:sz="0" w:space="0" w:color="auto"/>
      </w:divBdr>
    </w:div>
    <w:div w:id="1873611955">
      <w:bodyDiv w:val="1"/>
      <w:marLeft w:val="0"/>
      <w:marRight w:val="0"/>
      <w:marTop w:val="0"/>
      <w:marBottom w:val="0"/>
      <w:divBdr>
        <w:top w:val="none" w:sz="0" w:space="0" w:color="auto"/>
        <w:left w:val="none" w:sz="0" w:space="0" w:color="auto"/>
        <w:bottom w:val="none" w:sz="0" w:space="0" w:color="auto"/>
        <w:right w:val="none" w:sz="0" w:space="0" w:color="auto"/>
      </w:divBdr>
    </w:div>
    <w:div w:id="1896045787">
      <w:bodyDiv w:val="1"/>
      <w:marLeft w:val="0"/>
      <w:marRight w:val="0"/>
      <w:marTop w:val="0"/>
      <w:marBottom w:val="0"/>
      <w:divBdr>
        <w:top w:val="none" w:sz="0" w:space="0" w:color="auto"/>
        <w:left w:val="none" w:sz="0" w:space="0" w:color="auto"/>
        <w:bottom w:val="none" w:sz="0" w:space="0" w:color="auto"/>
        <w:right w:val="none" w:sz="0" w:space="0" w:color="auto"/>
      </w:divBdr>
    </w:div>
    <w:div w:id="1908497084">
      <w:bodyDiv w:val="1"/>
      <w:marLeft w:val="0"/>
      <w:marRight w:val="0"/>
      <w:marTop w:val="0"/>
      <w:marBottom w:val="0"/>
      <w:divBdr>
        <w:top w:val="none" w:sz="0" w:space="0" w:color="auto"/>
        <w:left w:val="none" w:sz="0" w:space="0" w:color="auto"/>
        <w:bottom w:val="none" w:sz="0" w:space="0" w:color="auto"/>
        <w:right w:val="none" w:sz="0" w:space="0" w:color="auto"/>
      </w:divBdr>
    </w:div>
    <w:div w:id="1908999273">
      <w:bodyDiv w:val="1"/>
      <w:marLeft w:val="0"/>
      <w:marRight w:val="0"/>
      <w:marTop w:val="0"/>
      <w:marBottom w:val="0"/>
      <w:divBdr>
        <w:top w:val="none" w:sz="0" w:space="0" w:color="auto"/>
        <w:left w:val="none" w:sz="0" w:space="0" w:color="auto"/>
        <w:bottom w:val="none" w:sz="0" w:space="0" w:color="auto"/>
        <w:right w:val="none" w:sz="0" w:space="0" w:color="auto"/>
      </w:divBdr>
    </w:div>
    <w:div w:id="1983190869">
      <w:bodyDiv w:val="1"/>
      <w:marLeft w:val="0"/>
      <w:marRight w:val="0"/>
      <w:marTop w:val="0"/>
      <w:marBottom w:val="0"/>
      <w:divBdr>
        <w:top w:val="none" w:sz="0" w:space="0" w:color="auto"/>
        <w:left w:val="none" w:sz="0" w:space="0" w:color="auto"/>
        <w:bottom w:val="none" w:sz="0" w:space="0" w:color="auto"/>
        <w:right w:val="none" w:sz="0" w:space="0" w:color="auto"/>
      </w:divBdr>
    </w:div>
    <w:div w:id="1987053592">
      <w:bodyDiv w:val="1"/>
      <w:marLeft w:val="0"/>
      <w:marRight w:val="0"/>
      <w:marTop w:val="0"/>
      <w:marBottom w:val="0"/>
      <w:divBdr>
        <w:top w:val="none" w:sz="0" w:space="0" w:color="auto"/>
        <w:left w:val="none" w:sz="0" w:space="0" w:color="auto"/>
        <w:bottom w:val="none" w:sz="0" w:space="0" w:color="auto"/>
        <w:right w:val="none" w:sz="0" w:space="0" w:color="auto"/>
      </w:divBdr>
    </w:div>
    <w:div w:id="1994026448">
      <w:bodyDiv w:val="1"/>
      <w:marLeft w:val="0"/>
      <w:marRight w:val="0"/>
      <w:marTop w:val="0"/>
      <w:marBottom w:val="0"/>
      <w:divBdr>
        <w:top w:val="none" w:sz="0" w:space="0" w:color="auto"/>
        <w:left w:val="none" w:sz="0" w:space="0" w:color="auto"/>
        <w:bottom w:val="none" w:sz="0" w:space="0" w:color="auto"/>
        <w:right w:val="none" w:sz="0" w:space="0" w:color="auto"/>
      </w:divBdr>
    </w:div>
    <w:div w:id="2009284713">
      <w:bodyDiv w:val="1"/>
      <w:marLeft w:val="0"/>
      <w:marRight w:val="0"/>
      <w:marTop w:val="0"/>
      <w:marBottom w:val="0"/>
      <w:divBdr>
        <w:top w:val="none" w:sz="0" w:space="0" w:color="auto"/>
        <w:left w:val="none" w:sz="0" w:space="0" w:color="auto"/>
        <w:bottom w:val="none" w:sz="0" w:space="0" w:color="auto"/>
        <w:right w:val="none" w:sz="0" w:space="0" w:color="auto"/>
      </w:divBdr>
    </w:div>
    <w:div w:id="2021618160">
      <w:bodyDiv w:val="1"/>
      <w:marLeft w:val="0"/>
      <w:marRight w:val="0"/>
      <w:marTop w:val="0"/>
      <w:marBottom w:val="0"/>
      <w:divBdr>
        <w:top w:val="none" w:sz="0" w:space="0" w:color="auto"/>
        <w:left w:val="none" w:sz="0" w:space="0" w:color="auto"/>
        <w:bottom w:val="none" w:sz="0" w:space="0" w:color="auto"/>
        <w:right w:val="none" w:sz="0" w:space="0" w:color="auto"/>
      </w:divBdr>
    </w:div>
    <w:div w:id="2032219528">
      <w:bodyDiv w:val="1"/>
      <w:marLeft w:val="0"/>
      <w:marRight w:val="0"/>
      <w:marTop w:val="0"/>
      <w:marBottom w:val="0"/>
      <w:divBdr>
        <w:top w:val="none" w:sz="0" w:space="0" w:color="auto"/>
        <w:left w:val="none" w:sz="0" w:space="0" w:color="auto"/>
        <w:bottom w:val="none" w:sz="0" w:space="0" w:color="auto"/>
        <w:right w:val="none" w:sz="0" w:space="0" w:color="auto"/>
      </w:divBdr>
    </w:div>
    <w:div w:id="2038313378">
      <w:bodyDiv w:val="1"/>
      <w:marLeft w:val="0"/>
      <w:marRight w:val="0"/>
      <w:marTop w:val="0"/>
      <w:marBottom w:val="0"/>
      <w:divBdr>
        <w:top w:val="none" w:sz="0" w:space="0" w:color="auto"/>
        <w:left w:val="none" w:sz="0" w:space="0" w:color="auto"/>
        <w:bottom w:val="none" w:sz="0" w:space="0" w:color="auto"/>
        <w:right w:val="none" w:sz="0" w:space="0" w:color="auto"/>
      </w:divBdr>
    </w:div>
    <w:div w:id="2089842786">
      <w:bodyDiv w:val="1"/>
      <w:marLeft w:val="0"/>
      <w:marRight w:val="0"/>
      <w:marTop w:val="0"/>
      <w:marBottom w:val="0"/>
      <w:divBdr>
        <w:top w:val="none" w:sz="0" w:space="0" w:color="auto"/>
        <w:left w:val="none" w:sz="0" w:space="0" w:color="auto"/>
        <w:bottom w:val="none" w:sz="0" w:space="0" w:color="auto"/>
        <w:right w:val="none" w:sz="0" w:space="0" w:color="auto"/>
      </w:divBdr>
    </w:div>
    <w:div w:id="2121758755">
      <w:bodyDiv w:val="1"/>
      <w:marLeft w:val="0"/>
      <w:marRight w:val="0"/>
      <w:marTop w:val="0"/>
      <w:marBottom w:val="0"/>
      <w:divBdr>
        <w:top w:val="none" w:sz="0" w:space="0" w:color="auto"/>
        <w:left w:val="none" w:sz="0" w:space="0" w:color="auto"/>
        <w:bottom w:val="none" w:sz="0" w:space="0" w:color="auto"/>
        <w:right w:val="none" w:sz="0" w:space="0" w:color="auto"/>
      </w:divBdr>
    </w:div>
    <w:div w:id="2133552539">
      <w:bodyDiv w:val="1"/>
      <w:marLeft w:val="0"/>
      <w:marRight w:val="0"/>
      <w:marTop w:val="0"/>
      <w:marBottom w:val="0"/>
      <w:divBdr>
        <w:top w:val="none" w:sz="0" w:space="0" w:color="auto"/>
        <w:left w:val="none" w:sz="0" w:space="0" w:color="auto"/>
        <w:bottom w:val="none" w:sz="0" w:space="0" w:color="auto"/>
        <w:right w:val="none" w:sz="0" w:space="0" w:color="auto"/>
      </w:divBdr>
    </w:div>
    <w:div w:id="21424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Users\usuario\Downloads\10.1111\j.1911-3846.2012.01193.x" TargetMode="External"/><Relationship Id="rId18" Type="http://schemas.openxmlformats.org/officeDocument/2006/relationships/hyperlink" Target="file:///d:\Users\usuario\Downloads\10.7819\rbgn.v20i1.2630" TargetMode="External"/><Relationship Id="rId3" Type="http://schemas.openxmlformats.org/officeDocument/2006/relationships/styles" Target="styles.xml"/><Relationship Id="rId21" Type="http://schemas.openxmlformats.org/officeDocument/2006/relationships/hyperlink" Target="file:///C:\Users\cmiaz\OneDrive\Documentos\Marco%20Te&#243;rico\10.1016\j.cya.2015.11.012" TargetMode="External"/><Relationship Id="rId7" Type="http://schemas.openxmlformats.org/officeDocument/2006/relationships/endnotes" Target="endnotes.xml"/><Relationship Id="rId12" Type="http://schemas.openxmlformats.org/officeDocument/2006/relationships/hyperlink" Target="file:///d:\Users\usuario\Downloads\10.1007\s11156-010-0184-1" TargetMode="External"/><Relationship Id="rId17" Type="http://schemas.openxmlformats.org/officeDocument/2006/relationships/hyperlink" Target="file:///d:\Users\usuario\Downloads\10.18270\cuaderlam.v19i36.40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Users\usuario\Downloads\10.12775\CJFA.2014.003" TargetMode="External"/><Relationship Id="rId20" Type="http://schemas.openxmlformats.org/officeDocument/2006/relationships/hyperlink" Target="file:///d:\Users\usuario\Downloads\10.24309\recta.2021.22.2.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clerici@fce.unrc.edu.a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Users\usuario\Downloads\10.1504\IJICBM.2019.096922" TargetMode="External"/><Relationship Id="rId23" Type="http://schemas.openxmlformats.org/officeDocument/2006/relationships/hyperlink" Target="file:///d:\Users\usuario\Downloads\10.6007\IJARAFMS\v4-i4\1241" TargetMode="External"/><Relationship Id="rId10" Type="http://schemas.openxmlformats.org/officeDocument/2006/relationships/hyperlink" Target="mailto:abernardi@fce.unrc.edu.ar" TargetMode="External"/><Relationship Id="rId19" Type="http://schemas.openxmlformats.org/officeDocument/2006/relationships/hyperlink" Target="file:///d:\Users\usuario\Downloads\10.1108\JAAR-07-2016-0073" TargetMode="External"/><Relationship Id="rId4" Type="http://schemas.openxmlformats.org/officeDocument/2006/relationships/settings" Target="settings.xml"/><Relationship Id="rId9" Type="http://schemas.openxmlformats.org/officeDocument/2006/relationships/hyperlink" Target="mailto:cmiazzo@fce.unrc.edu.ar" TargetMode="External"/><Relationship Id="rId14" Type="http://schemas.openxmlformats.org/officeDocument/2006/relationships/hyperlink" Target="file:///d:\Users\usuario\Downloads\10.1111\j.1475-679X.2008.00287.x" TargetMode="External"/><Relationship Id="rId22" Type="http://schemas.openxmlformats.org/officeDocument/2006/relationships/hyperlink" Target="file:///d:\Users\usuario\Downloads\10.31580\jei.v1i3.10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7thEd.XSL" StyleName="APA 7th Edition (Beta)" Version="1">
  <b:Source>
    <b:Tag>Fow071</b:Tag>
    <b:SourceType>Book</b:SourceType>
    <b:Guid>{17F8DAFA-63A7-4487-BB12-2D153E074BAC}</b:Guid>
    <b:Title>Cuestiones Contables Fundamentales</b:Title>
    <b:Year>2007</b:Year>
    <b:City>Buenos Aires</b:City>
    <b:Publisher>La Ley</b:Publisher>
    <b:Author>
      <b:Author>
        <b:NameList>
          <b:Person>
            <b:Last>Fowler Newton </b:Last>
            <b:First>Enrique</b:First>
          </b:Person>
        </b:NameList>
      </b:Author>
    </b:Author>
    <b:RefOrder>18</b:RefOrder>
  </b:Source>
  <b:Source>
    <b:Tag>Bar08</b:Tag>
    <b:SourceType>JournalArticle</b:SourceType>
    <b:Guid>{2B73B7FA-9E97-40A0-B13E-C30B1AFC2399}</b:Guid>
    <b:Title>International Accounting Standards and Accounting Quality</b:Title>
    <b:Year>2008</b:Year>
    <b:JournalName> Journal of Accounting Research</b:JournalName>
    <b:Pages>467-498</b:Pages>
    <b:Author>
      <b:Author>
        <b:NameList>
          <b:Person>
            <b:Last>Barth</b:Last>
            <b:Middle>E.</b:Middle>
            <b:First>Mary</b:First>
          </b:Person>
          <b:Person>
            <b:Last>Landsman</b:Last>
            <b:Middle>R.</b:Middle>
            <b:First>Wayne</b:First>
          </b:Person>
          <b:Person>
            <b:Last>Lang</b:Last>
            <b:Middle>H.</b:Middle>
            <b:First>Mark</b:First>
          </b:Person>
        </b:NameList>
      </b:Author>
    </b:Author>
    <b:RefOrder>19</b:RefOrder>
  </b:Source>
  <b:Source>
    <b:Tag>Cas08</b:Tag>
    <b:SourceType>Book</b:SourceType>
    <b:Guid>{35BF7B58-D5E0-4F1A-BBAC-1ED532793847}</b:Guid>
    <b:Title>N.I.I.F/I.F.R.S. Normas Internacionales de Información Financiera. La Globalización del Lenguaje de los Negocios</b:Title>
    <b:Year>2008</b:Year>
    <b:City>Buenos Aires</b:City>
    <b:Publisher>Aplicación Tributaria S.A.</b:Publisher>
    <b:Author>
      <b:Author>
        <b:NameList>
          <b:Person>
            <b:Last>Casinelli</b:Last>
            <b:Middle>Pablo</b:Middle>
            <b:First>Hernán</b:First>
          </b:Person>
        </b:NameList>
      </b:Author>
    </b:Author>
    <b:RefOrder>20</b:RefOrder>
  </b:Source>
  <b:Source>
    <b:Tag>Int00</b:Tag>
    <b:SourceType>Book</b:SourceType>
    <b:Guid>{BFFBD7D0-5CDF-4671-992F-1FAD0FA5E790}</b:Guid>
    <b:Author>
      <b:Author>
        <b:Corporate>International Organization of Securities Commissions</b:Corporate>
      </b:Author>
    </b:Author>
    <b:Title>IASC Standards – Assement Report. OICV-IOSCO. Report off the Technical Committe of the International Organization of Securities Commissions</b:Title>
    <b:Year>2000</b:Year>
    <b:City>Madrid</b:City>
    <b:Publisher>IOSCO</b:Publisher>
    <b:RefOrder>21</b:RefOrder>
  </b:Source>
  <b:Source>
    <b:Tag>Dum12</b:Tag>
    <b:SourceType>JournalArticle</b:SourceType>
    <b:Guid>{D5214FBB-DCCB-4B47-AEDC-D9356F2B3716}</b:Guid>
    <b:Title>The Accounting Information Quality Concept</b:Title>
    <b:JournalName>Economics, Management, and Financial Markets</b:JournalName>
    <b:Year>2012</b:Year>
    <b:Pages>326-336</b:Pages>
    <b:Author>
      <b:Author>
        <b:NameList>
          <b:Person>
            <b:Last>Dumitru</b:Last>
            <b:First>Gheorghe</b:First>
          </b:Person>
        </b:NameList>
      </b:Author>
    </b:Author>
    <b:RefOrder>22</b:RefOrder>
  </b:Source>
  <b:Source>
    <b:Tag>Fit16</b:Tag>
    <b:SourceType>JournalArticle</b:SourceType>
    <b:Guid>{6B01E136-5C95-49AD-AF88-E10E564267F8}</b:Guid>
    <b:Title>Factors That Influence Accounting Information System Implementation And Accounting Information Quality</b:Title>
    <b:JournalName>International Jorunal of Scientific &amp; Technology Research</b:JournalName>
    <b:Year>2016</b:Year>
    <b:Pages>192-198</b:Pages>
    <b:Author>
      <b:Author>
        <b:NameList>
          <b:Person>
            <b:Last> Fitrios</b:Last>
            <b:First>Ruhu</b:First>
          </b:Person>
        </b:NameList>
      </b:Author>
    </b:Author>
    <b:RefOrder>23</b:RefOrder>
  </b:Source>
  <b:Source>
    <b:Tag>Int18</b:Tag>
    <b:SourceType>Book</b:SourceType>
    <b:Guid>{C3C3F8F2-FCA6-4D62-9BD8-96951C1FAC99}</b:Guid>
    <b:Title>Conceptual Framework for Financial Reporting</b:Title>
    <b:Year>2018</b:Year>
    <b:Author>
      <b:Author>
        <b:Corporate> International Accounting Standards Board</b:Corporate>
      </b:Author>
    </b:Author>
    <b:City>Londres</b:City>
    <b:Publisher>IFRS Foundation</b:Publisher>
    <b:RefOrder>24</b:RefOrder>
  </b:Source>
  <b:Source>
    <b:Tag>Bar01</b:Tag>
    <b:SourceType>JournalArticle</b:SourceType>
    <b:Guid>{A170FAB8-C75B-42A3-9C16-1E1419DD1BF9}</b:Guid>
    <b:Title>The relevance of the value relevance literature for ﬁnancial accounting standard setting: another view</b:Title>
    <b:JournalName>Journal of Accounting and Economics </b:JournalName>
    <b:Year>2001</b:Year>
    <b:Pages>77-104</b:Pages>
    <b:Author>
      <b:Author>
        <b:NameList>
          <b:Person>
            <b:Last>Barth</b:Last>
            <b:Middle>E.</b:Middle>
            <b:First>Mary</b:First>
          </b:Person>
          <b:Person>
            <b:Last>Beaver</b:Last>
            <b:Middle>H.</b:Middle>
            <b:First>William</b:First>
          </b:Person>
          <b:Person>
            <b:Last>Landsam</b:Last>
            <b:Middle>R.</b:Middle>
            <b:First>Wayne</b:First>
          </b:Person>
        </b:NameList>
      </b:Author>
    </b:Author>
    <b:RefOrder>25</b:RefOrder>
  </b:Source>
  <b:Source>
    <b:Tag>Ago11</b:Tag>
    <b:SourceType>JournalArticle</b:SourceType>
    <b:Guid>{F1F00956-63E3-43A4-8DE8-9945C393AD56}</b:Guid>
    <b:Title>The value relevance of IFRS in the European banking</b:Title>
    <b:JournalName>Review of Quantitative Finance and Accounting</b:JournalName>
    <b:Year>2011</b:Year>
    <b:Month>June</b:Month>
    <b:Pages>437–457</b:Pages>
    <b:Volume>1</b:Volume>
    <b:Issue>36</b:Issue>
    <b:DOI>10.1007/s11156-010-0184-1</b:DOI>
    <b:Author>
      <b:Author>
        <b:NameList>
          <b:Person>
            <b:Last>Agostino</b:Last>
            <b:First>Mariarosaria</b:First>
          </b:Person>
          <b:Person>
            <b:Last>Drago</b:Last>
            <b:First>Danilo</b:First>
          </b:Person>
          <b:Person>
            <b:Last>Silipo</b:Last>
            <b:Middle>B.</b:Middle>
            <b:First>Damiano</b:First>
          </b:Person>
        </b:NameList>
      </b:Author>
    </b:Author>
    <b:RefOrder>2</b:RefOrder>
  </b:Source>
  <b:Source>
    <b:Tag>Tra14</b:Tag>
    <b:SourceType>JournalArticle</b:SourceType>
    <b:Guid>{05533542-8F19-4D62-BE14-48B2720F15C2}</b:Guid>
    <b:Title>The Value Relevance of IFRS in the UAE Banking Industry: Empirical Evidence from Dubai Financial Market, 2008-2013</b:Title>
    <b:JournalName>nternational Journal of Academic Research in Accounting, Finance and Management Sciences</b:JournalName>
    <b:Year>2014</b:Year>
    <b:Month>October</b:Month>
    <b:Pages>60–71</b:Pages>
    <b:Volume>4</b:Volume>
    <b:Issue>4</b:Issue>
    <b:DOI>10.6007/IJARAFMS/v4-i4/1241</b:DOI>
    <b:Author>
      <b:Author>
        <b:NameList>
          <b:Person>
            <b:Last>Trabelsi</b:Last>
            <b:Middle>Sbei</b:Middle>
            <b:First>Nadia </b:First>
          </b:Person>
          <b:Person>
            <b:Last>Trabelsi</b:Last>
            <b:First>Mohamed</b:First>
          </b:Person>
        </b:NameList>
      </b:Author>
    </b:Author>
    <b:RefOrder>6</b:RefOrder>
  </b:Source>
  <b:Source>
    <b:Tag>Bha191</b:Tag>
    <b:SourceType>JournalArticle</b:SourceType>
    <b:Guid>{34FF7870-8526-4963-A01A-235A8731C256}</b:Guid>
    <b:Title>Value relevance of accounting information: comparative study of Indian public and private sector </b:Title>
    <b:JournalName> International Journal of Indian Culture and Business Management </b:JournalName>
    <b:Year>2019</b:Year>
    <b:Month>January</b:Month>
    <b:Pages>12-33</b:Pages>
    <b:Volume>18</b:Volume>
    <b:Issue>1</b:Issue>
    <b:DOI>10.1504/IJICBM.2019.096922</b:DOI>
    <b:Author>
      <b:Author>
        <b:NameList>
          <b:Person>
            <b:Last>Bhatia</b:Last>
            <b:First>Meena</b:First>
          </b:Person>
          <b:Person>
            <b:Last>Mulenga</b:Last>
            <b:Middle>J.</b:Middle>
            <b:First>Mwila</b:First>
          </b:Person>
        </b:NameList>
      </b:Author>
    </b:Author>
    <b:RefOrder>3</b:RefOrder>
  </b:Source>
  <b:Source>
    <b:Tag>Osh14</b:Tag>
    <b:SourceType>JournalArticle</b:SourceType>
    <b:Guid>{E8567681-CF6B-4E40-9750-B5D27512CB90}</b:Guid>
    <b:Title>The Comparative Study of Value Relevance of Financial Information in the Nigeria Banking and Petroleum Sectors</b:Title>
    <b:JournalName>Journal of Business Studies Quarterly</b:JournalName>
    <b:Year>2014</b:Year>
    <b:Pages>42–54</b:Pages>
    <b:Volume>6</b:Volume>
    <b:Issue>1</b:Issue>
    <b:Author>
      <b:Author>
        <b:NameList>
          <b:Person>
            <b:Last>Oshodin</b:Last>
            <b:First>Ernest</b:First>
          </b:Person>
          <b:Person>
            <b:Last>Chijoke</b:Last>
            <b:Middle>Mgbame</b:Middle>
            <b:First>Oscar</b:First>
          </b:Person>
        </b:NameList>
      </b:Author>
    </b:Author>
    <b:RefOrder>26</b:RefOrder>
  </b:Source>
  <b:Source>
    <b:Tag>Maz18</b:Tag>
    <b:SourceType>JournalArticle</b:SourceType>
    <b:Guid>{F08F3CC1-0A6E-43C7-ACA8-CD131D786725}</b:Guid>
    <b:Title>Aspects of the quality of accounting in the international context</b:Title>
    <b:JournalName>Revista Brasileira de Gestao de Negocios</b:JournalName>
    <b:Year>2018</b:Year>
    <b:Month> jan-ma</b:Month>
    <b:Pages>92-111</b:Pages>
    <b:Volume>20</b:Volume>
    <b:Issue>1</b:Issue>
    <b:DOI>10.7819/rbgn.v20i1.2630</b:DOI>
    <b:Author>
      <b:Author>
        <b:NameList>
          <b:Person>
            <b:Last>Mazzioni</b:Last>
            <b:First>Sandy</b:First>
          </b:Person>
          <b:Person>
            <b:Last>Klann</b:Last>
            <b:First>Roberto</b:First>
          </b:Person>
        </b:NameList>
      </b:Author>
    </b:Author>
    <b:RefOrder>15</b:RefOrder>
  </b:Source>
  <b:Source>
    <b:Tag>Ahm131</b:Tag>
    <b:SourceType>JournalArticle</b:SourceType>
    <b:Guid>{801724D4-438B-44BE-BE02-C40D8C11935B}</b:Guid>
    <b:Title>Does Mandatory Adoption of IFRS Improve Accounting Quality? Preliminary Evidence</b:Title>
    <b:JournalName>Contemporary Accounting Research</b:JournalName>
    <b:Year>2013</b:Year>
    <b:Month>Winter</b:Month>
    <b:Pages>1344-1372</b:Pages>
    <b:Volume>30</b:Volume>
    <b:Issue>4</b:Issue>
    <b:DOI>10.1111/j.1911-3846.2012.01193.x</b:DOI>
    <b:Author>
      <b:Author>
        <b:NameList>
          <b:Person>
            <b:Last>Ahmed</b:Last>
            <b:First>Anwer</b:First>
          </b:Person>
          <b:Person>
            <b:Last>Neel</b:Last>
            <b:First>Michael</b:First>
          </b:Person>
          <b:Person>
            <b:Last>Wang</b:Last>
            <b:First>Dechun</b:First>
          </b:Person>
        </b:NameList>
      </b:Author>
    </b:Author>
    <b:RefOrder>13</b:RefOrder>
  </b:Source>
  <b:Source>
    <b:Tag>Bar081</b:Tag>
    <b:SourceType>JournalArticle</b:SourceType>
    <b:Guid>{CF96701B-E753-4F47-9FD2-A4707FEB59D8}</b:Guid>
    <b:Title>International Accounting Standards and Accounting Quality</b:Title>
    <b:JournalName>Journal of Accounting Research</b:JournalName>
    <b:Year>2008</b:Year>
    <b:Month>June</b:Month>
    <b:Pages>466-498</b:Pages>
    <b:Volume>46</b:Volume>
    <b:Issue>3</b:Issue>
    <b:DOI>10.1111/j.1475-679X.2008.00287.x</b:DOI>
    <b:Author>
      <b:Author>
        <b:NameList>
          <b:Person>
            <b:Last>Barth</b:Last>
            <b:First>Mary</b:First>
          </b:Person>
          <b:Person>
            <b:Last>Landsman</b:Last>
            <b:First>Wayne</b:First>
          </b:Person>
          <b:Person>
            <b:Last> Lang</b:Last>
            <b:First>Mark</b:First>
          </b:Person>
        </b:NameList>
      </b:Author>
    </b:Author>
    <b:RefOrder>14</b:RefOrder>
  </b:Source>
  <b:Source>
    <b:Tag>Mor18</b:Tag>
    <b:SourceType>JournalArticle</b:SourceType>
    <b:Guid>{AC94C343-3F1A-4DCB-9993-33E63658DDAF}</b:Guid>
    <b:Title>Is the accounting quality after the mandatory adoption of IFRS a random walk? Evidence from Europe</b:Title>
    <b:JournalName>Journal of Applied Accounting Research</b:JournalName>
    <b:Year>2018</b:Year>
    <b:Month>July</b:Month>
    <b:Pages>334-350</b:Pages>
    <b:Volume>19</b:Volume>
    <b:Issue>3</b:Issue>
    <b:DOI>10.1108/JAAR-07-2016-0073</b:DOI>
    <b:Author>
      <b:Author>
        <b:NameList>
          <b:Person>
            <b:Last>Morais</b:Last>
            <b:First>Ana</b:First>
          </b:Person>
          <b:Person>
            <b:Last>Fialho</b:Last>
            <b:First>Ana</b:First>
          </b:Person>
          <b:Person>
            <b:Last>Dionisio</b:Last>
            <b:First>Andreia</b:First>
          </b:Person>
        </b:NameList>
      </b:Author>
    </b:Author>
    <b:RefOrder>27</b:RefOrder>
  </b:Source>
  <b:Source>
    <b:Tag>Bol14</b:Tag>
    <b:SourceType>JournalArticle</b:SourceType>
    <b:Guid>{56A1F70A-ED59-45FD-89C2-537BA1D651BA}</b:Guid>
    <b:Title>The impact of IFRS on the value relevance of accounting data of banks listed on the Warsaw stock exchange</b:Title>
    <b:JournalName>Copernican Journal of Finance &amp; Accounting</b:JournalName>
    <b:Year>2014</b:Year>
    <b:Pages>33-43</b:Pages>
    <b:Volume>3</b:Volume>
    <b:Issue>1</b:Issue>
    <b:DOI>10.12775/CJFA.2014.003</b:DOI>
    <b:Author>
      <b:Author>
        <b:NameList>
          <b:Person>
            <b:Last>Bolibok</b:Last>
            <b:First>Piotr</b:First>
          </b:Person>
        </b:NameList>
      </b:Author>
    </b:Author>
    <b:RefOrder>4</b:RefOrder>
  </b:Source>
  <b:Source>
    <b:Tag>Int19</b:Tag>
    <b:SourceType>InternetSite</b:SourceType>
    <b:Guid>{FDFC8B45-9875-439E-B5F3-566B691CF635}</b:Guid>
    <b:Author>
      <b:Author>
        <b:Corporate>International Accounting Standards Committee</b:Corporate>
      </b:Author>
    </b:Author>
    <b:Title>ifrs.org</b:Title>
    <b:Year>2019</b:Year>
    <b:Month>08</b:Month>
    <b:Day>17</b:Day>
    <b:URL>https://cdn.ifrs.org/-/media/feature/about-us/our-history/1994-shiratori-speech-to-iosco.pdf?la=en</b:URL>
    <b:RefOrder>28</b:RefOrder>
  </b:Source>
  <b:Source>
    <b:Tag>She14</b:Tag>
    <b:SourceType>JournalArticle</b:SourceType>
    <b:Guid>{3A3E1F02-5D79-4F6D-8EC6-1C89D2B5D71B}</b:Guid>
    <b:Title>Value relevance of accounting information and its impact on stock prices: Case study of listed banks at Karachi Stock Exchange</b:Title>
    <b:JournalName>Journal of Economic Info</b:JournalName>
    <b:Year>2014</b:Year>
    <b:Month>july</b:Month>
    <b:Pages>78-81</b:Pages>
    <b:Volume>1</b:Volume>
    <b:Issue>3</b:Issue>
    <b:DOI>10.31580/jei.v1i3.109</b:DOI>
    <b:Author>
      <b:Author>
        <b:NameList>
          <b:Person>
            <b:Last>Shehzad</b:Last>
            <b:First>Khurram</b:First>
          </b:Person>
          <b:Person>
            <b:Last>Ismail</b:Last>
            <b:First>Aisha</b:First>
          </b:Person>
        </b:NameList>
      </b:Author>
    </b:Author>
    <b:RefOrder>5</b:RefOrder>
  </b:Source>
  <b:Source>
    <b:Tag>Ohl951</b:Tag>
    <b:SourceType>JournalArticle</b:SourceType>
    <b:Guid>{54C9CE9C-27EE-4DDB-B045-9B275E3F50FD}</b:Guid>
    <b:Title>Earnings, Book Values, and Dividends in Equity Valuation</b:Title>
    <b:JournalName>Contemporany Accounting Research</b:JournalName>
    <b:Year>1995</b:Year>
    <b:Month>spring</b:Month>
    <b:Pages>661-687</b:Pages>
    <b:Volume>11</b:Volume>
    <b:Issue>2</b:Issue>
    <b:Author>
      <b:Author>
        <b:NameList>
          <b:Person>
            <b:Last>Ohlson</b:Last>
            <b:Middle>A.</b:Middle>
            <b:First>James</b:First>
          </b:Person>
        </b:NameList>
      </b:Author>
    </b:Author>
    <b:RefOrder>7</b:RefOrder>
  </b:Source>
  <b:Source>
    <b:Tag>Bha192</b:Tag>
    <b:SourceType>JournalArticle</b:SourceType>
    <b:Guid>{9D912317-7785-432D-841D-8112C35CE6B2}</b:Guid>
    <b:Title>Value relevance of accounting information: comparative study of Indian public and private sector banks</b:Title>
    <b:JournalName>Int. J. Indian Culture and Business Management</b:JournalName>
    <b:Year>2019</b:Year>
    <b:Pages>18-33</b:Pages>
    <b:Volume>18</b:Volume>
    <b:Issue>1</b:Issue>
    <b:Author>
      <b:Author>
        <b:NameList>
          <b:Person>
            <b:Last>Bhatia</b:Last>
            <b:First>Meena</b:First>
          </b:Person>
          <b:Person>
            <b:Last>Mulenga</b:Last>
            <b:Middle>J.</b:Middle>
            <b:First>Mwila</b:First>
          </b:Person>
        </b:NameList>
      </b:Author>
    </b:Author>
    <b:RefOrder>29</b:RefOrder>
  </b:Source>
  <b:Source>
    <b:Tag>Osh141</b:Tag>
    <b:SourceType>JournalArticle</b:SourceType>
    <b:Guid>{0C0F3DD2-A813-4BCD-9547-3821BAD458B8}</b:Guid>
    <b:Title>THE COMPARATIVE STUDY OF VALUE RELEVANCE OF FINANCIAL INFORMATION IN THE NIGERIA BANKING AND PETROLEUM SECTORS</b:Title>
    <b:JournalName>Journal of Business Studies Quarterly</b:JournalName>
    <b:Year>2014</b:Year>
    <b:Pages>42-54</b:Pages>
    <b:Volume>6</b:Volume>
    <b:Issue>1</b:Issue>
    <b:Author>
      <b:Author>
        <b:NameList>
          <b:Person>
            <b:Last>Oshodin </b:Last>
            <b:First>Ernest</b:First>
          </b:Person>
          <b:Person>
            <b:Last>Mgbame Chijoke</b:Last>
            <b:First>Oscar</b:First>
          </b:Person>
        </b:NameList>
      </b:Author>
    </b:Author>
    <b:RefOrder>30</b:RefOrder>
  </b:Source>
  <b:Source>
    <b:Tag>Pac21</b:Tag>
    <b:SourceType>JournalArticle</b:SourceType>
    <b:Guid>{19CAE7CC-49F0-4521-AA92-9D07B01A88EB}</b:Guid>
    <b:Title>THE EFFECT OF IFRS ADOPTION ON THE VALUE RELEVANCE OF ACCOUNTING</b:Title>
    <b:JournalName>Revista Electrónica de Comunicaciones y Trabajos de ASEPUMA</b:JournalName>
    <b:Year>2021</b:Year>
    <b:Pages>77-90</b:Pages>
    <b:Volume>22</b:Volume>
    <b:DOI>10.24309/recta.2021.22.2.03</b:DOI>
    <b:Author>
      <b:Author>
        <b:NameList>
          <b:Person>
            <b:Last>Pacheco-Ortiz</b:Last>
            <b:Middle>Milena</b:Middle>
            <b:First>Diana</b:First>
          </b:Person>
          <b:Person>
            <b:Last>Rendón-García</b:Last>
            <b:Middle>Fernando</b:Middle>
            <b:First>Juan</b:First>
          </b:Person>
          <b:Person>
            <b:Last>Villada-Medina</b:Last>
            <b:Middle>Darío</b:Middle>
            <b:First>Hernán</b:First>
          </b:Person>
        </b:NameList>
      </b:Author>
    </b:Author>
    <b:RefOrder>17</b:RefOrder>
  </b:Source>
  <b:Source>
    <b:Tag>Coh23</b:Tag>
    <b:SourceType>JournalArticle</b:SourceType>
    <b:Guid>{522B1DCE-4997-404F-B97A-4136FF35255C}</b:Guid>
    <b:Title>La exposición de información no financiera: un estudio en bancos de Argentina</b:Title>
    <b:Pages>1-21</b:Pages>
    <b:Year>2023</b:Year>
    <b:DOI>10.18270/cuaderlam.v19i36.4021</b:DOI>
    <b:JournalName>Cuadernos Latinoamericanos de Administración</b:JournalName>
    <b:Month>Enero-Junio</b:Month>
    <b:Volume>XIV</b:Volume>
    <b:Issue>36</b:Issue>
    <b:Author>
      <b:Author>
        <b:NameList>
          <b:Person>
            <b:Last>Cohen</b:Last>
            <b:Middle>Lorena</b:Middle>
            <b:First>Natalia </b:First>
          </b:Person>
          <b:Person>
            <b:Last>Werbin</b:Last>
            <b:Middle>Mariela</b:Middle>
            <b:First>Eliana</b:First>
          </b:Person>
          <b:Person>
            <b:Last>Quadro</b:Last>
            <b:Middle>Ernesto</b:Middle>
            <b:First>Martín</b:First>
          </b:Person>
        </b:NameList>
      </b:Author>
    </b:Author>
    <b:RefOrder>8</b:RefOrder>
  </b:Source>
  <b:Source>
    <b:Tag>Bar00</b:Tag>
    <b:SourceType>JournalArticle</b:SourceType>
    <b:Guid>{689DD46B-3F59-4952-BA62-8BCB9D9EF2DE}</b:Guid>
    <b:Title>Valuation‐based accounting research: Implications for financial reporting and opportunities for future research</b:Title>
    <b:Year>2000</b:Year>
    <b:JournalName>Accounting &amp; Finance</b:JournalName>
    <b:Pages>7-32</b:Pages>
    <b:Volume>40</b:Volume>
    <b:Issue>1</b:Issue>
    <b:Author>
      <b:Author>
        <b:NameList>
          <b:Person>
            <b:Last>Barth</b:Last>
            <b:First>Mary</b:First>
          </b:Person>
        </b:NameList>
      </b:Author>
    </b:Author>
    <b:RefOrder>10</b:RefOrder>
  </b:Source>
  <b:Source>
    <b:Tag>Gin06</b:Tag>
    <b:SourceType>JournalArticle</b:SourceType>
    <b:Guid>{7F1D2655-5A5F-4DE3-826B-1A829A332E74}</b:Guid>
    <b:Title>Aplicación de los modelos de Fetham-Ohlson a la valoración de activos en el mercado español</b:Title>
    <b:JournalName>Economía Financiera</b:JournalName>
    <b:Year>2006</b:Year>
    <b:Pages>729-759</b:Pages>
    <b:Volume>35</b:Volume>
    <b:Issue>132</b:Issue>
    <b:Author>
      <b:Author>
        <b:NameList>
          <b:Person>
            <b:Last>Giner Inchausti</b:Last>
            <b:First>Begoña</b:First>
          </b:Person>
          <b:Person>
            <b:Last>Iñiguez Sánchez</b:Last>
            <b:First>Raúl</b:First>
          </b:Person>
        </b:NameList>
      </b:Author>
    </b:Author>
    <b:RefOrder>12</b:RefOrder>
  </b:Source>
  <b:Source>
    <b:Tag>Fel95</b:Tag>
    <b:SourceType>JournalArticle</b:SourceType>
    <b:Guid>{EA9798C5-3AEE-4BB7-8D74-96D0990C9149}</b:Guid>
    <b:Title>Valuation and Clean Surplus Accounting for Operating and Financial Activities</b:Title>
    <b:JournalName>Contemporary accounting research</b:JournalName>
    <b:Year>1995</b:Year>
    <b:Month>spring</b:Month>
    <b:Pages>689-731</b:Pages>
    <b:Volume>11</b:Volume>
    <b:Issue>2</b:Issue>
    <b:Author>
      <b:Author>
        <b:NameList>
          <b:Person>
            <b:Last>Feltham</b:Last>
            <b:Middle>A.</b:Middle>
            <b:First>Gerald</b:First>
          </b:Person>
          <b:Person>
            <b:Last>Ohlson</b:Last>
            <b:Middle>A.</b:Middle>
            <b:First>James</b:First>
          </b:Person>
        </b:NameList>
      </b:Author>
    </b:Author>
    <b:RefOrder>11</b:RefOrder>
  </b:Source>
  <b:Source>
    <b:Tag>Pin00</b:Tag>
    <b:SourceType>JournalArticle</b:SourceType>
    <b:Guid>{D66EDB3C-FC91-4914-B24D-774753D83A08}</b:Guid>
    <b:Title>Determinantes de la Calidad del Resultado</b:Title>
    <b:Year>2000</b:Year>
    <b:JournalName>Revista de Contabilidad</b:JournalName>
    <b:Month>enero-junio</b:Month>
    <b:Pages>149-182</b:Pages>
    <b:Volume>3</b:Volume>
    <b:Issue>5</b:Issue>
    <b:Author>
      <b:Author>
        <b:NameList>
          <b:Person>
            <b:Last>Pineda González</b:Last>
            <b:First>Carmen</b:First>
          </b:Person>
        </b:NameList>
      </b:Author>
    </b:Author>
    <b:RefOrder>9</b:RefOrder>
  </b:Source>
  <b:Source>
    <b:Tag>Mar22</b:Tag>
    <b:SourceType>JournalArticle</b:SourceType>
    <b:Guid>{58E56C86-C343-4D27-9EC2-BAEEE8BDDC20}</b:Guid>
    <b:Title>IFRS X Bacen Gaap: Value Relevance das Informações Contábeis das Instituições Financeiras do Brasil</b:Title>
    <b:JournalName>BBR. Brazilian Business Review</b:JournalName>
    <b:Year>2022</b:Year>
    <b:Pages>1-19</b:Pages>
    <b:Author>
      <b:Author>
        <b:NameList>
          <b:Person>
            <b:Last>Marques</b:Last>
            <b:Middle>Titoto</b:Middle>
            <b:First>Mariana</b:First>
          </b:Person>
          <b:Person>
            <b:Last>Dalmacio</b:Last>
            <b:Middle>Zóvoli</b:Middle>
            <b:First>Flávia</b:First>
          </b:Person>
          <b:Person>
            <b:Last>Rezende</b:Last>
            <b:Middle>José</b:Middle>
            <b:First>Amaury</b:First>
          </b:Person>
        </b:NameList>
      </b:Author>
    </b:Author>
    <b:RefOrder>16</b:RefOrder>
  </b:Source>
  <b:Source>
    <b:Tag>Whi80</b:Tag>
    <b:SourceType>JournalArticle</b:SourceType>
    <b:Guid>{645ECED3-E73B-471F-955B-DF1BC750F480}</b:Guid>
    <b:Title>A heteroskedasticity-consistent covariance matrix estimator and a direct </b:Title>
    <b:JournalName>Econometrica</b:JournalName>
    <b:Year>1980</b:Year>
    <b:Pages>817-838</b:Pages>
    <b:Volume>48</b:Volume>
    <b:Issue>4</b:Issue>
    <b:Author>
      <b:Author>
        <b:NameList>
          <b:Person>
            <b:Last>White</b:Last>
            <b:First>H.</b:First>
          </b:Person>
        </b:NameList>
      </b:Author>
    </b:Author>
    <b:RefOrder>31</b:RefOrder>
  </b:Source>
  <b:Source>
    <b:Tag>Wak22</b:Tag>
    <b:SourceType>JournalArticle</b:SourceType>
    <b:Guid>{DD8F72D6-EC9A-4E97-8601-E6D5C4007126}</b:Guid>
    <b:Title>Does mandatory IFRS adoption affect large and small public firms accounting quality differently? Evidence from Canada</b:Title>
    <b:JournalName>Advances in Accounting</b:JournalName>
    <b:Year>2022</b:Year>
    <b:Month>june</b:Month>
    <b:Volume>57</b:Volume>
    <b:DOI>10.1016/j.adiac.2022.100598</b:DOI>
    <b:Author>
      <b:Author>
        <b:NameList>
          <b:Person>
            <b:Last>Wakil</b:Last>
            <b:First>Gulraze</b:First>
          </b:Person>
          <b:Person>
            <b:Last>Petruska</b:Last>
            <b:Middle>A.</b:Middle>
            <b:First>Karin</b:First>
          </b:Person>
        </b:NameList>
      </b:Author>
    </b:Author>
    <b:Pages>100598</b:Pages>
    <b:RefOrder>32</b:RefOrder>
  </b:Source>
  <b:Source>
    <b:Tag>Mac14</b:Tag>
    <b:SourceType>Misc</b:SourceType>
    <b:Guid>{925CA769-E38B-4680-ADEE-4CF91F248F9C}</b:Guid>
    <b:Title>Impact of Convergence to International Accounting Standards in Brazil on The Informational Content of Accounting</b:Title>
    <b:JournalName>SSRN</b:JournalName>
    <b:Year>2014</b:Year>
    <b:Month>march</b:Month>
    <b:DOI>10.2139/ssrn.2409399</b:DOI>
    <b:Author>
      <b:Author>
        <b:NameList>
          <b:Person>
            <b:Last>Machado</b:Last>
            <b:Middle>André</b:Middle>
            <b:First>Márcio</b:First>
          </b:Person>
          <b:Person>
            <b:Last>Machado</b:Last>
            <b:Middle>André Veras</b:Middle>
            <b:First>Márcio</b:First>
          </b:Person>
          <b:Person>
            <b:Last>Machado</b:Last>
            <b:First>Márcia</b:First>
          </b:Person>
          <b:Person>
            <b:Last>Cardoso Mendoca</b:Last>
            <b:Middle>Henrique</b:Middle>
            <b:First>Pedro</b:First>
          </b:Person>
        </b:NameList>
      </b:Author>
    </b:Author>
    <b:Publisher>SSRN</b:Publisher>
    <b:RefOrder>33</b:RefOrder>
  </b:Source>
  <b:Source>
    <b:Tag>Imh89</b:Tag>
    <b:SourceType>Book</b:SourceType>
    <b:Guid>{18FFCC08-3EE1-4998-A683-50BADBEAD5A6}</b:Guid>
    <b:Title>Accounting quality</b:Title>
    <b:Year>1989</b:Year>
    <b:Author>
      <b:Author>
        <b:NameList>
          <b:Person>
            <b:Last>Imhoff</b:Last>
            <b:Middle>A.</b:Middle>
            <b:First>E.</b:First>
          </b:Person>
          <b:Person>
            <b:Last>Thomas</b:Last>
            <b:Middle>K.</b:Middle>
            <b:First>J.</b:First>
          </b:Person>
        </b:NameList>
      </b:Author>
    </b:Author>
    <b:Publisher>University of Michigan</b:Publisher>
    <b:RefOrder>1</b:RefOrder>
  </b:Source>
</b:Sources>
</file>

<file path=customXml/itemProps1.xml><?xml version="1.0" encoding="utf-8"?>
<ds:datastoreItem xmlns:ds="http://schemas.openxmlformats.org/officeDocument/2006/customXml" ds:itemID="{389AF079-AC05-4B46-A108-5D281599E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4916</Words>
  <Characters>27040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Miazzo</dc:creator>
  <cp:keywords/>
  <dc:description/>
  <cp:lastModifiedBy>Cristian Miazzo</cp:lastModifiedBy>
  <cp:revision>3</cp:revision>
  <dcterms:created xsi:type="dcterms:W3CDTF">2023-08-10T17:50:00Z</dcterms:created>
  <dcterms:modified xsi:type="dcterms:W3CDTF">2023-08-10T17:50:00Z</dcterms:modified>
</cp:coreProperties>
</file>