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AEB5EB" w14:textId="75E7456E" w:rsidR="00AD6374" w:rsidRPr="00AD6374" w:rsidRDefault="00AD6374" w:rsidP="00AD6374">
      <w:pPr>
        <w:spacing w:after="0" w:line="240" w:lineRule="auto"/>
        <w:jc w:val="both"/>
        <w:rPr>
          <w:rFonts w:ascii="Times New Roman" w:eastAsia="Times New Roman" w:hAnsi="Times New Roman" w:cs="Times New Roman"/>
          <w:kern w:val="0"/>
          <w:lang w:eastAsia="es-AR"/>
          <w14:ligatures w14:val="none"/>
        </w:rPr>
      </w:pPr>
      <w:r w:rsidRPr="00AD6374">
        <w:rPr>
          <w:rFonts w:ascii="Helvetica" w:eastAsia="Times New Roman" w:hAnsi="Helvetica" w:cs="Times New Roman"/>
          <w:color w:val="0077B5"/>
          <w:kern w:val="0"/>
          <w:sz w:val="18"/>
          <w:szCs w:val="18"/>
          <w:u w:val="single"/>
          <w:lang w:eastAsia="es-AR"/>
          <w14:ligatures w14:val="none"/>
        </w:rPr>
        <w:br/>
      </w:r>
      <w:r w:rsidRPr="00AD6374">
        <w:rPr>
          <w:rFonts w:ascii="Times New Roman" w:eastAsia="Times New Roman" w:hAnsi="Times New Roman" w:cs="Times New Roman"/>
          <w:kern w:val="0"/>
          <w:u w:val="single"/>
          <w:lang w:eastAsia="es-AR"/>
          <w14:ligatures w14:val="none"/>
        </w:rPr>
        <w:t>La historia y el rol del sistema financiero público. Desafíos para una agenda económica dinámica, inclusiva y nacional.</w:t>
      </w:r>
    </w:p>
    <w:p w14:paraId="20E6EF2C" w14:textId="77777777" w:rsidR="00AD6374" w:rsidRPr="00AD6374" w:rsidRDefault="00AD6374" w:rsidP="007F2355">
      <w:pPr>
        <w:spacing w:line="360" w:lineRule="auto"/>
        <w:jc w:val="both"/>
        <w:rPr>
          <w:rFonts w:ascii="Times New Roman" w:hAnsi="Times New Roman" w:cs="Times New Roman"/>
        </w:rPr>
      </w:pPr>
    </w:p>
    <w:p w14:paraId="7CE7B501" w14:textId="7BC0721E" w:rsidR="0079527B" w:rsidRPr="007F2355" w:rsidRDefault="0079527B" w:rsidP="007F2355">
      <w:pPr>
        <w:spacing w:line="360" w:lineRule="auto"/>
        <w:jc w:val="both"/>
        <w:rPr>
          <w:rFonts w:ascii="Times New Roman" w:hAnsi="Times New Roman"/>
        </w:rPr>
      </w:pPr>
      <w:r w:rsidRPr="007F2355">
        <w:rPr>
          <w:rFonts w:ascii="Times New Roman" w:hAnsi="Times New Roman"/>
        </w:rPr>
        <w:t>El sistema financiero argentino comenzó a ordenarse en el año 1881 con la sanción de la Ley General de la Moneda, la misma condujo a la creación de la moneda argentina llamada “Argentina Oro” y la convertibilidad de la misma.</w:t>
      </w:r>
    </w:p>
    <w:p w14:paraId="6017EB76" w14:textId="77777777" w:rsidR="0079527B" w:rsidRPr="007F2355" w:rsidRDefault="0079527B" w:rsidP="007F2355">
      <w:pPr>
        <w:spacing w:line="360" w:lineRule="auto"/>
        <w:jc w:val="both"/>
        <w:rPr>
          <w:rFonts w:ascii="Times New Roman" w:hAnsi="Times New Roman"/>
        </w:rPr>
      </w:pPr>
      <w:r w:rsidRPr="007F2355">
        <w:rPr>
          <w:rFonts w:ascii="Times New Roman" w:hAnsi="Times New Roman"/>
        </w:rPr>
        <w:t>A partir del año mencionado, las normas y políticas en materia monetaria comienza a tomar coherencia. Años siguientes se sanciona distintas leyes para la creación y normalización de diferentes bancos; entre ello está la Ley 12115 (1935) que funda el Banco Central de la República Argentina (BCRA).</w:t>
      </w:r>
    </w:p>
    <w:p w14:paraId="10B0F0B3" w14:textId="77777777" w:rsidR="0079527B" w:rsidRPr="007F2355" w:rsidRDefault="0079527B" w:rsidP="007F2355">
      <w:pPr>
        <w:spacing w:line="360" w:lineRule="auto"/>
        <w:jc w:val="both"/>
        <w:rPr>
          <w:rFonts w:ascii="Times New Roman" w:hAnsi="Times New Roman"/>
        </w:rPr>
      </w:pPr>
      <w:r w:rsidRPr="007F2355">
        <w:rPr>
          <w:rFonts w:ascii="Times New Roman" w:hAnsi="Times New Roman"/>
        </w:rPr>
        <w:t xml:space="preserve">A medida que transcurría el tiempo, el sistema financiero iba cambiando </w:t>
      </w:r>
      <w:r w:rsidR="00BD2149" w:rsidRPr="007F2355">
        <w:rPr>
          <w:rFonts w:ascii="Times New Roman" w:hAnsi="Times New Roman"/>
        </w:rPr>
        <w:t>de acuerdo al progreso y evolución de la economía del país, como también buscaba dar respuesta y solución a las diferentes crisis que se presentaban. Distintos instrumentos fueron incorporándose al sistema: redescuentos, nacionalización de depósitos, entre otros.</w:t>
      </w:r>
    </w:p>
    <w:p w14:paraId="6F0ECCE7" w14:textId="77777777" w:rsidR="00BD2149" w:rsidRPr="007F2355" w:rsidRDefault="00BD2149" w:rsidP="007F2355">
      <w:pPr>
        <w:spacing w:line="360" w:lineRule="auto"/>
        <w:jc w:val="both"/>
        <w:rPr>
          <w:rFonts w:ascii="Times New Roman" w:hAnsi="Times New Roman"/>
        </w:rPr>
      </w:pPr>
      <w:r w:rsidRPr="007F2355">
        <w:rPr>
          <w:rFonts w:ascii="Times New Roman" w:hAnsi="Times New Roman"/>
        </w:rPr>
        <w:t>En el año 1977 se da un quiebre importante en el sistema financiero argentino, se sanciona la Ley 21526, que introduce reformas importantes. El sistema utilizado hasta entonces fue la nacionalización de los depósitos, a partir de la promulgación de dicha ley se incorpora un sistema de encajes fraccionario y de operaciones de mercado abierto cuyo propósito fue la liberación del sistema financiero, reduciendo la participación del estado.</w:t>
      </w:r>
    </w:p>
    <w:p w14:paraId="25D7BDDE" w14:textId="77777777" w:rsidR="00614B96" w:rsidRPr="007F2355" w:rsidRDefault="00BD2149" w:rsidP="007F2355">
      <w:pPr>
        <w:spacing w:line="360" w:lineRule="auto"/>
        <w:jc w:val="both"/>
        <w:rPr>
          <w:rFonts w:ascii="Times New Roman" w:hAnsi="Times New Roman"/>
        </w:rPr>
      </w:pPr>
      <w:r w:rsidRPr="007F2355">
        <w:rPr>
          <w:rFonts w:ascii="Times New Roman" w:hAnsi="Times New Roman"/>
        </w:rPr>
        <w:t>A nivel internacional, años anteriores, en los países centrales divisaban la dificultad financiera</w:t>
      </w:r>
      <w:r w:rsidR="00614B96" w:rsidRPr="007F2355">
        <w:rPr>
          <w:rFonts w:ascii="Times New Roman" w:hAnsi="Times New Roman"/>
        </w:rPr>
        <w:t xml:space="preserve"> a raíz de la intervención estatal, el accionar de los gobiernos en materia financiera reflejaban restricción en el desarrollo y crecimiento económico a través de la manipulación del tipo de cambio y tasa de interés. El cambio de políticas keynesianas y la liberalización financiera comenzó a regir a partir de 1970: “la hipótesis </w:t>
      </w:r>
      <w:proofErr w:type="spellStart"/>
      <w:r w:rsidR="00614B96" w:rsidRPr="007F2355">
        <w:rPr>
          <w:rFonts w:ascii="Times New Roman" w:hAnsi="Times New Roman"/>
        </w:rPr>
        <w:t>Mckinnon</w:t>
      </w:r>
      <w:proofErr w:type="spellEnd"/>
      <w:r w:rsidR="00614B96" w:rsidRPr="007F2355">
        <w:rPr>
          <w:rFonts w:ascii="Times New Roman" w:hAnsi="Times New Roman"/>
        </w:rPr>
        <w:t>-Shaw es que la intervención y regulación estatal producen clima de “represión financiera”, al introducir distorsiones que resultarían en oferta insuficiente de crédito y también de ahorro”. (</w:t>
      </w:r>
      <w:proofErr w:type="spellStart"/>
      <w:r w:rsidR="00614B96" w:rsidRPr="007F2355">
        <w:rPr>
          <w:rFonts w:ascii="Times New Roman" w:hAnsi="Times New Roman"/>
        </w:rPr>
        <w:t>Cibils</w:t>
      </w:r>
      <w:proofErr w:type="spellEnd"/>
      <w:r w:rsidR="00614B96" w:rsidRPr="007F2355">
        <w:rPr>
          <w:rFonts w:ascii="Times New Roman" w:hAnsi="Times New Roman"/>
        </w:rPr>
        <w:t xml:space="preserve">, A. y </w:t>
      </w:r>
      <w:proofErr w:type="spellStart"/>
      <w:r w:rsidR="00614B96" w:rsidRPr="007F2355">
        <w:rPr>
          <w:rFonts w:ascii="Times New Roman" w:hAnsi="Times New Roman"/>
        </w:rPr>
        <w:t>Allami</w:t>
      </w:r>
      <w:proofErr w:type="spellEnd"/>
      <w:r w:rsidR="00614B96" w:rsidRPr="007F2355">
        <w:rPr>
          <w:rFonts w:ascii="Times New Roman" w:hAnsi="Times New Roman"/>
        </w:rPr>
        <w:t>, C. 2008)</w:t>
      </w:r>
    </w:p>
    <w:p w14:paraId="609BC28A" w14:textId="77777777" w:rsidR="00BD2149" w:rsidRPr="007F2355" w:rsidRDefault="00614B96" w:rsidP="007F2355">
      <w:pPr>
        <w:spacing w:line="360" w:lineRule="auto"/>
        <w:jc w:val="both"/>
        <w:rPr>
          <w:rFonts w:ascii="Times New Roman" w:hAnsi="Times New Roman"/>
        </w:rPr>
      </w:pPr>
      <w:r w:rsidRPr="007F2355">
        <w:rPr>
          <w:rFonts w:ascii="Times New Roman" w:hAnsi="Times New Roman"/>
        </w:rPr>
        <w:t>Es por ello que el gobierno militar lleva a cabo políticas liberales. Las sanciones de las leyes 21495 (descentralización de los depósitos), 21526 (entidades financieras) y 21572 (</w:t>
      </w:r>
      <w:r w:rsidR="00CA46CA" w:rsidRPr="007F2355">
        <w:rPr>
          <w:rFonts w:ascii="Times New Roman" w:hAnsi="Times New Roman"/>
        </w:rPr>
        <w:t xml:space="preserve">regulación monetaria); fueron </w:t>
      </w:r>
      <w:proofErr w:type="gramStart"/>
      <w:r w:rsidR="00CA46CA" w:rsidRPr="007F2355">
        <w:rPr>
          <w:rFonts w:ascii="Times New Roman" w:hAnsi="Times New Roman"/>
        </w:rPr>
        <w:t>el punta</w:t>
      </w:r>
      <w:proofErr w:type="gramEnd"/>
      <w:r w:rsidR="00CA46CA" w:rsidRPr="007F2355">
        <w:rPr>
          <w:rFonts w:ascii="Times New Roman" w:hAnsi="Times New Roman"/>
        </w:rPr>
        <w:t xml:space="preserve"> pie de una reorganización financiera. El objetivo era devolver la dinámica al sistema financiero y con ello al progreso, desarrollo y crecimiento de la economía.</w:t>
      </w:r>
    </w:p>
    <w:p w14:paraId="5283209E" w14:textId="77777777" w:rsidR="00CA46CA" w:rsidRPr="007F2355" w:rsidRDefault="00CA46CA" w:rsidP="007F2355">
      <w:pPr>
        <w:spacing w:line="360" w:lineRule="auto"/>
        <w:jc w:val="both"/>
        <w:rPr>
          <w:rFonts w:ascii="Times New Roman" w:hAnsi="Times New Roman"/>
        </w:rPr>
      </w:pPr>
      <w:r w:rsidRPr="007F2355">
        <w:rPr>
          <w:rFonts w:ascii="Times New Roman" w:hAnsi="Times New Roman"/>
        </w:rPr>
        <w:t>Durante el período militar se estableció un régimen de garantía de los depósitos, el cual era utilizado en caso de disolución o liquidación de las entidades bancarias, en este caso el BCRA respondía ante los depósitos. Otras leyes sancionadas estaban relacionadas con las aperturas de sucursales y con la solidez de las mismas.</w:t>
      </w:r>
    </w:p>
    <w:p w14:paraId="0B872A3D" w14:textId="77777777" w:rsidR="00CA7AFD" w:rsidRPr="007F2355" w:rsidRDefault="00CA46CA" w:rsidP="007F2355">
      <w:pPr>
        <w:spacing w:line="360" w:lineRule="auto"/>
        <w:jc w:val="both"/>
        <w:rPr>
          <w:rFonts w:ascii="Times New Roman" w:hAnsi="Times New Roman"/>
        </w:rPr>
      </w:pPr>
      <w:r w:rsidRPr="007F2355">
        <w:rPr>
          <w:rFonts w:ascii="Times New Roman" w:hAnsi="Times New Roman"/>
        </w:rPr>
        <w:lastRenderedPageBreak/>
        <w:t>A pesar de todas las políticas adoptadas, de aperturas de filiales, conversiones a entidades bancarias y financieras, reducción de las tasas de interés, incremento en los plazos de los créditos; la situación financiera no mejoró, la crisis sobrevino. La economía se desmonetizó debido a una alta inflación, los servicios financieros</w:t>
      </w:r>
      <w:r w:rsidR="00CA7AFD" w:rsidRPr="007F2355">
        <w:rPr>
          <w:rFonts w:ascii="Times New Roman" w:hAnsi="Times New Roman"/>
        </w:rPr>
        <w:t xml:space="preserve"> de la deuda externa se </w:t>
      </w:r>
      <w:proofErr w:type="spellStart"/>
      <w:r w:rsidR="00CA7AFD" w:rsidRPr="007F2355">
        <w:rPr>
          <w:rFonts w:ascii="Times New Roman" w:hAnsi="Times New Roman"/>
        </w:rPr>
        <w:t>incremento</w:t>
      </w:r>
      <w:proofErr w:type="spellEnd"/>
      <w:r w:rsidR="00CA7AFD" w:rsidRPr="007F2355">
        <w:rPr>
          <w:rFonts w:ascii="Times New Roman" w:hAnsi="Times New Roman"/>
        </w:rPr>
        <w:t xml:space="preserve"> debido a un aumento de la tasa de interés internacional; los capitales nacionales disminuyeron, el déficit fiscal aumento.</w:t>
      </w:r>
    </w:p>
    <w:p w14:paraId="5B6C1BA8" w14:textId="77777777" w:rsidR="00CA7AFD" w:rsidRPr="007F2355" w:rsidRDefault="00CA7AFD" w:rsidP="007F2355">
      <w:pPr>
        <w:spacing w:line="360" w:lineRule="auto"/>
        <w:jc w:val="both"/>
        <w:rPr>
          <w:rFonts w:ascii="Times New Roman" w:hAnsi="Times New Roman"/>
        </w:rPr>
      </w:pPr>
      <w:r w:rsidRPr="007F2355">
        <w:rPr>
          <w:rFonts w:ascii="Times New Roman" w:hAnsi="Times New Roman"/>
        </w:rPr>
        <w:t xml:space="preserve">Ante esta situación, las políticas de los años 80 fueron: inmovilización de los depósitos, redescuentos del BCRA, emisión de títulos públicos, emisión monetaria, créditos preferenciales a tasas subsidiadas, tasa de interés elevadas para los inversionistas, canje de depósitos (Plan </w:t>
      </w:r>
      <w:proofErr w:type="spellStart"/>
      <w:r w:rsidRPr="007F2355">
        <w:rPr>
          <w:rFonts w:ascii="Times New Roman" w:hAnsi="Times New Roman"/>
        </w:rPr>
        <w:t>Bonex</w:t>
      </w:r>
      <w:proofErr w:type="spellEnd"/>
      <w:r w:rsidRPr="007F2355">
        <w:rPr>
          <w:rFonts w:ascii="Times New Roman" w:hAnsi="Times New Roman"/>
        </w:rPr>
        <w:t>), cambio de moneda, entre otras.</w:t>
      </w:r>
    </w:p>
    <w:p w14:paraId="5D6DF065" w14:textId="77777777" w:rsidR="00CA7AFD" w:rsidRPr="007F2355" w:rsidRDefault="00CA7AFD" w:rsidP="007F2355">
      <w:pPr>
        <w:spacing w:line="360" w:lineRule="auto"/>
        <w:jc w:val="both"/>
        <w:rPr>
          <w:rFonts w:ascii="Times New Roman" w:hAnsi="Times New Roman"/>
        </w:rPr>
      </w:pPr>
      <w:r w:rsidRPr="007F2355">
        <w:rPr>
          <w:rFonts w:ascii="Times New Roman" w:hAnsi="Times New Roman"/>
        </w:rPr>
        <w:t>Esta década estuvo marcada por la implementación de diferentes planes, por la manipulación del crédito, tasa de interés, de encajes remunerados, ahorro y demás.</w:t>
      </w:r>
    </w:p>
    <w:p w14:paraId="5DAC2FE7" w14:textId="77777777" w:rsidR="008863D8" w:rsidRPr="007F2355" w:rsidRDefault="00CA7AFD" w:rsidP="007F2355">
      <w:pPr>
        <w:spacing w:line="360" w:lineRule="auto"/>
        <w:jc w:val="both"/>
        <w:rPr>
          <w:rFonts w:ascii="Times New Roman" w:hAnsi="Times New Roman"/>
        </w:rPr>
      </w:pPr>
      <w:r w:rsidRPr="007F2355">
        <w:rPr>
          <w:rFonts w:ascii="Times New Roman" w:hAnsi="Times New Roman"/>
        </w:rPr>
        <w:t>La década del 90 estuvo marcada por el plan de convertibilidad, trajo estabilidad económica y financiera, un respiro y alivio</w:t>
      </w:r>
      <w:r w:rsidR="008863D8" w:rsidRPr="007F2355">
        <w:rPr>
          <w:rFonts w:ascii="Times New Roman" w:hAnsi="Times New Roman"/>
        </w:rPr>
        <w:t xml:space="preserve"> a la situación sofocante que venía atravesando el país. El marco legal adoptado desde 1977 cambio. Se presenta dos lineamientos: en materia de regulación normativa uno rígido y otro más flexible a partir de 1994 con la crisis mexicana que sacudió la economía y el sistema financiero argentino.</w:t>
      </w:r>
    </w:p>
    <w:p w14:paraId="31B68942" w14:textId="77777777" w:rsidR="008863D8" w:rsidRPr="007F2355" w:rsidRDefault="008863D8" w:rsidP="007F2355">
      <w:pPr>
        <w:spacing w:line="360" w:lineRule="auto"/>
        <w:jc w:val="both"/>
        <w:rPr>
          <w:rFonts w:ascii="Times New Roman" w:hAnsi="Times New Roman"/>
        </w:rPr>
      </w:pPr>
      <w:r w:rsidRPr="007F2355">
        <w:rPr>
          <w:rFonts w:ascii="Times New Roman" w:hAnsi="Times New Roman"/>
        </w:rPr>
        <w:t>Luego del Plan de Convertibilidad se produce una importante entrada de capitales, producto de movimientos de capitales a nivel internacional, y una mayor circulación del dinero.</w:t>
      </w:r>
    </w:p>
    <w:p w14:paraId="42BC88BC" w14:textId="77777777" w:rsidR="00D11119" w:rsidRPr="007F2355" w:rsidRDefault="008863D8" w:rsidP="007F2355">
      <w:pPr>
        <w:spacing w:line="360" w:lineRule="auto"/>
        <w:jc w:val="both"/>
        <w:rPr>
          <w:rFonts w:ascii="Times New Roman" w:hAnsi="Times New Roman"/>
        </w:rPr>
      </w:pPr>
      <w:r w:rsidRPr="007F2355">
        <w:rPr>
          <w:rFonts w:ascii="Times New Roman" w:hAnsi="Times New Roman"/>
        </w:rPr>
        <w:t>Los cambios producidos fueron muchos: se limitó el accionar del BCRA a través de la reforma de su Carta Orgánica; se tuvieron en cuenta las normas de Basilea en los cambios de la ley de Entidades Financieras. Las políticas adoptadas en materia financiera fueron: todo el dinero circulante debía estar respaldado en un 100% con reservas en dólares y oro, la función del central era prestamista de última instancia, la oferta monetaria</w:t>
      </w:r>
      <w:r w:rsidR="00D11119" w:rsidRPr="007F2355">
        <w:rPr>
          <w:rFonts w:ascii="Times New Roman" w:hAnsi="Times New Roman"/>
        </w:rPr>
        <w:t xml:space="preserve"> era regulada por operaciones de pase o encajes, los redescuentos y las operaciones de mercado abierto fueron limitadas, el estado dejó de garantizar los depósitos, la entrada de los bancos extranjeros fue más flexible, se introdujo mayor seguridad en los depósitos de moneda extranjera, se otorgaba créditos en cualquier moneda, se autorizó la emisión de Obligaciones negociables en dólares.</w:t>
      </w:r>
    </w:p>
    <w:p w14:paraId="55D67361" w14:textId="77777777" w:rsidR="00BA770F" w:rsidRPr="007F2355" w:rsidRDefault="00D11119" w:rsidP="007F2355">
      <w:pPr>
        <w:spacing w:line="360" w:lineRule="auto"/>
        <w:jc w:val="both"/>
        <w:rPr>
          <w:rFonts w:ascii="Times New Roman" w:hAnsi="Times New Roman"/>
        </w:rPr>
      </w:pPr>
      <w:r w:rsidRPr="007F2355">
        <w:rPr>
          <w:rFonts w:ascii="Times New Roman" w:hAnsi="Times New Roman"/>
        </w:rPr>
        <w:t xml:space="preserve">Algunas de estas medidas fueron sometidas a cambios, como consecuencias de la crisis del </w:t>
      </w:r>
      <w:proofErr w:type="spellStart"/>
      <w:r w:rsidRPr="007F2355">
        <w:rPr>
          <w:rFonts w:ascii="Times New Roman" w:hAnsi="Times New Roman"/>
        </w:rPr>
        <w:t>Tekila</w:t>
      </w:r>
      <w:proofErr w:type="spellEnd"/>
      <w:r w:rsidRPr="007F2355">
        <w:rPr>
          <w:rFonts w:ascii="Times New Roman" w:hAnsi="Times New Roman"/>
        </w:rPr>
        <w:t>; la crisis del sudeste asiático y la de Brasil afectaron al sistema financiero y económico con una importante disminución de las entidades financieras</w:t>
      </w:r>
      <w:r w:rsidR="00BA770F" w:rsidRPr="007F2355">
        <w:rPr>
          <w:rFonts w:ascii="Times New Roman" w:hAnsi="Times New Roman"/>
        </w:rPr>
        <w:t>, con un incremento de fusiones institucionales, mayor concentración, poca probabilidad al acceso al crédito internacional, etc.</w:t>
      </w:r>
    </w:p>
    <w:p w14:paraId="1F153D56" w14:textId="77777777" w:rsidR="00B74A46" w:rsidRPr="007F2355" w:rsidRDefault="00BA770F" w:rsidP="007F2355">
      <w:pPr>
        <w:spacing w:line="360" w:lineRule="auto"/>
        <w:jc w:val="both"/>
        <w:rPr>
          <w:rFonts w:ascii="Times New Roman" w:hAnsi="Times New Roman"/>
        </w:rPr>
      </w:pPr>
      <w:r w:rsidRPr="007F2355">
        <w:rPr>
          <w:rFonts w:ascii="Times New Roman" w:hAnsi="Times New Roman"/>
        </w:rPr>
        <w:t xml:space="preserve">La década inicial del nuevo siglo estuvo marcada por la salida de la convertibilidad, se registraron corridas bancarias que ocasionó la imposición del corralito, devaluación, pérdida de reservas, iliquidez. Una situación poco favorable en lo económico y financiero: pérdida de depósitos en las </w:t>
      </w:r>
      <w:r w:rsidRPr="007F2355">
        <w:rPr>
          <w:rFonts w:ascii="Times New Roman" w:hAnsi="Times New Roman"/>
        </w:rPr>
        <w:lastRenderedPageBreak/>
        <w:t xml:space="preserve">entidades financieras, </w:t>
      </w:r>
      <w:proofErr w:type="spellStart"/>
      <w:r w:rsidRPr="007F2355">
        <w:rPr>
          <w:rFonts w:ascii="Times New Roman" w:hAnsi="Times New Roman"/>
        </w:rPr>
        <w:t>perdida</w:t>
      </w:r>
      <w:proofErr w:type="spellEnd"/>
      <w:r w:rsidRPr="007F2355">
        <w:rPr>
          <w:rFonts w:ascii="Times New Roman" w:hAnsi="Times New Roman"/>
        </w:rPr>
        <w:t xml:space="preserve"> de credibilidad, los depositantes perdieron todo tipo de derecho sobre sus ahorros, las entidades bancarias disminuyeron, se producen nuevas absorciones, la carta orgánica es modificada nuevamente otorgándole la función de prestamista de última instancia. Recién en el segundo semestre del 2002 la situación financiera comenzó a mejorar</w:t>
      </w:r>
      <w:r w:rsidR="00B74A46" w:rsidRPr="007F2355">
        <w:rPr>
          <w:rFonts w:ascii="Times New Roman" w:hAnsi="Times New Roman"/>
        </w:rPr>
        <w:t xml:space="preserve">, el central realiza préstamos al Gobierno Nacional, compra divisas, se realizan nuevas ofertas de créditos, incrementándose, de esta manera, la </w:t>
      </w:r>
      <w:r w:rsidR="00D842FA" w:rsidRPr="007F2355">
        <w:rPr>
          <w:rFonts w:ascii="Times New Roman" w:hAnsi="Times New Roman"/>
        </w:rPr>
        <w:t>competencia bancaria</w:t>
      </w:r>
      <w:r w:rsidR="00B74A46" w:rsidRPr="007F2355">
        <w:rPr>
          <w:rFonts w:ascii="Times New Roman" w:hAnsi="Times New Roman"/>
        </w:rPr>
        <w:t xml:space="preserve"> para captar nuevos clientes.</w:t>
      </w:r>
    </w:p>
    <w:p w14:paraId="0CDED1B4" w14:textId="77777777" w:rsidR="00B74A46" w:rsidRPr="007F2355" w:rsidRDefault="00B74A46" w:rsidP="007F2355">
      <w:pPr>
        <w:spacing w:line="360" w:lineRule="auto"/>
        <w:jc w:val="both"/>
        <w:rPr>
          <w:rFonts w:ascii="Times New Roman" w:hAnsi="Times New Roman"/>
        </w:rPr>
      </w:pPr>
      <w:r w:rsidRPr="007F2355">
        <w:rPr>
          <w:rFonts w:ascii="Times New Roman" w:hAnsi="Times New Roman"/>
        </w:rPr>
        <w:t xml:space="preserve">En el siguiente cuadro se puede observar la evolución del sistema financiero, algunas entidades presentan resultados positivos y </w:t>
      </w:r>
      <w:r w:rsidR="00D842FA" w:rsidRPr="007F2355">
        <w:rPr>
          <w:rFonts w:ascii="Times New Roman" w:hAnsi="Times New Roman"/>
        </w:rPr>
        <w:t>otros negativos</w:t>
      </w:r>
      <w:r w:rsidRPr="007F2355">
        <w:rPr>
          <w:rFonts w:ascii="Times New Roman" w:hAnsi="Times New Roman"/>
        </w:rPr>
        <w:t>; aquellas que pudieron crecer bajo el contexto de crisis se debió a factores políticos como a la implementación de distintas estrategias, en el año 2002 la mayoría de las instituciones presentan pérdidas, esto se debió a la salida de la convertibilidad.</w:t>
      </w:r>
    </w:p>
    <w:p w14:paraId="0B1BC47B" w14:textId="7D05345E" w:rsidR="00D842FA" w:rsidRPr="007F2355" w:rsidRDefault="007E21D2" w:rsidP="007F2355">
      <w:pPr>
        <w:spacing w:line="360" w:lineRule="auto"/>
        <w:jc w:val="center"/>
        <w:rPr>
          <w:rFonts w:ascii="Times New Roman" w:hAnsi="Times New Roman"/>
          <w:noProof/>
        </w:rPr>
      </w:pPr>
      <w:r w:rsidRPr="007E21D2">
        <w:rPr>
          <w:rFonts w:ascii="Times New Roman" w:hAnsi="Times New Roman"/>
          <w:noProof/>
          <w:u w:val="single"/>
        </w:rPr>
        <w:t>GRAFICO 1</w:t>
      </w:r>
      <w:r>
        <w:rPr>
          <w:rFonts w:ascii="Times New Roman" w:hAnsi="Times New Roman"/>
          <w:noProof/>
        </w:rPr>
        <w:t>: Evolución de Resultados del Sistema Financiero desde 1988 al 2006.</w:t>
      </w:r>
      <w:r w:rsidR="00D842FA" w:rsidRPr="007F2355">
        <w:rPr>
          <w:rFonts w:ascii="Times New Roman" w:hAnsi="Times New Roman"/>
          <w:noProof/>
        </w:rPr>
        <w:t xml:space="preserve"> </w:t>
      </w:r>
      <w:r w:rsidR="00D842FA" w:rsidRPr="007F2355">
        <w:rPr>
          <w:rFonts w:ascii="Times New Roman" w:hAnsi="Times New Roman"/>
          <w:noProof/>
        </w:rPr>
        <w:drawing>
          <wp:inline distT="0" distB="0" distL="0" distR="0" wp14:anchorId="4D05C8D3" wp14:editId="71F63325">
            <wp:extent cx="4295775" cy="1990725"/>
            <wp:effectExtent l="0" t="0" r="9525" b="9525"/>
            <wp:docPr id="1253199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199776" name=""/>
                    <pic:cNvPicPr/>
                  </pic:nvPicPr>
                  <pic:blipFill rotWithShape="1">
                    <a:blip r:embed="rId4"/>
                    <a:srcRect l="46213" t="25727" r="24683" b="37565"/>
                    <a:stretch/>
                  </pic:blipFill>
                  <pic:spPr bwMode="auto">
                    <a:xfrm>
                      <a:off x="0" y="0"/>
                      <a:ext cx="4295775" cy="1990725"/>
                    </a:xfrm>
                    <a:prstGeom prst="rect">
                      <a:avLst/>
                    </a:prstGeom>
                    <a:ln>
                      <a:noFill/>
                    </a:ln>
                    <a:extLst>
                      <a:ext uri="{53640926-AAD7-44D8-BBD7-CCE9431645EC}">
                        <a14:shadowObscured xmlns:a14="http://schemas.microsoft.com/office/drawing/2010/main"/>
                      </a:ext>
                    </a:extLst>
                  </pic:spPr>
                </pic:pic>
              </a:graphicData>
            </a:graphic>
          </wp:inline>
        </w:drawing>
      </w:r>
    </w:p>
    <w:p w14:paraId="434D4BE5" w14:textId="4BB7054A" w:rsidR="00D842FA" w:rsidRPr="007F2355" w:rsidRDefault="00D842FA" w:rsidP="007F2355">
      <w:pPr>
        <w:spacing w:line="360" w:lineRule="auto"/>
        <w:jc w:val="center"/>
        <w:rPr>
          <w:rFonts w:ascii="Times New Roman" w:hAnsi="Times New Roman"/>
          <w:noProof/>
          <w:vertAlign w:val="superscript"/>
        </w:rPr>
      </w:pPr>
      <w:r w:rsidRPr="007E21D2">
        <w:rPr>
          <w:rFonts w:ascii="Times New Roman" w:hAnsi="Times New Roman"/>
          <w:noProof/>
          <w:u w:val="single"/>
          <w:vertAlign w:val="superscript"/>
        </w:rPr>
        <w:t>FUENTE:</w:t>
      </w:r>
      <w:r w:rsidRPr="007F2355">
        <w:rPr>
          <w:rFonts w:ascii="Times New Roman" w:hAnsi="Times New Roman"/>
          <w:noProof/>
          <w:vertAlign w:val="superscript"/>
        </w:rPr>
        <w:t xml:space="preserve"> </w:t>
      </w:r>
      <w:r w:rsidR="00543035" w:rsidRPr="007F2355">
        <w:rPr>
          <w:rFonts w:ascii="Times New Roman" w:hAnsi="Times New Roman"/>
          <w:noProof/>
          <w:vertAlign w:val="superscript"/>
        </w:rPr>
        <w:t>EVOLUCION DEL SISTEMA FINANCIERO ARGENTINO. UNIVERSIDAD NACIONAL DE CUYO</w:t>
      </w:r>
      <w:r w:rsidR="007E21D2">
        <w:rPr>
          <w:rFonts w:ascii="Times New Roman" w:hAnsi="Times New Roman"/>
          <w:noProof/>
          <w:vertAlign w:val="superscript"/>
        </w:rPr>
        <w:t>.</w:t>
      </w:r>
    </w:p>
    <w:p w14:paraId="5811CD0B" w14:textId="77777777" w:rsidR="00B74A46" w:rsidRPr="007F2355" w:rsidRDefault="00B74A46" w:rsidP="007F2355">
      <w:pPr>
        <w:spacing w:line="360" w:lineRule="auto"/>
        <w:jc w:val="both"/>
        <w:rPr>
          <w:rFonts w:ascii="Times New Roman" w:hAnsi="Times New Roman"/>
        </w:rPr>
      </w:pPr>
      <w:r w:rsidRPr="007F2355">
        <w:rPr>
          <w:rFonts w:ascii="Times New Roman" w:hAnsi="Times New Roman"/>
        </w:rPr>
        <w:t xml:space="preserve">A finales de la </w:t>
      </w:r>
      <w:r w:rsidR="00D842FA" w:rsidRPr="007F2355">
        <w:rPr>
          <w:rFonts w:ascii="Times New Roman" w:hAnsi="Times New Roman"/>
        </w:rPr>
        <w:t>primera década</w:t>
      </w:r>
      <w:r w:rsidRPr="007F2355">
        <w:rPr>
          <w:rFonts w:ascii="Times New Roman" w:hAnsi="Times New Roman"/>
        </w:rPr>
        <w:t xml:space="preserve"> del año 2000 se produce, en EEUU, la crisis de la hipoteca </w:t>
      </w:r>
      <w:proofErr w:type="spellStart"/>
      <w:r w:rsidRPr="007F2355">
        <w:rPr>
          <w:rFonts w:ascii="Times New Roman" w:hAnsi="Times New Roman"/>
        </w:rPr>
        <w:t>subprime</w:t>
      </w:r>
      <w:proofErr w:type="spellEnd"/>
      <w:r w:rsidRPr="007F2355">
        <w:rPr>
          <w:rFonts w:ascii="Times New Roman" w:hAnsi="Times New Roman"/>
        </w:rPr>
        <w:t xml:space="preserve">, situación que tubo impacto negativo en nuestro país, si bien el BCRA pudo paliar primeramente la situación con la utilización de </w:t>
      </w:r>
      <w:r w:rsidR="00D842FA" w:rsidRPr="007F2355">
        <w:rPr>
          <w:rFonts w:ascii="Times New Roman" w:hAnsi="Times New Roman"/>
        </w:rPr>
        <w:t>los distintos instrumentos</w:t>
      </w:r>
      <w:r w:rsidRPr="007F2355">
        <w:rPr>
          <w:rFonts w:ascii="Times New Roman" w:hAnsi="Times New Roman"/>
        </w:rPr>
        <w:t xml:space="preserve">, dejo sus secuelas: </w:t>
      </w:r>
      <w:r w:rsidR="006C1277" w:rsidRPr="007F2355">
        <w:rPr>
          <w:rFonts w:ascii="Times New Roman" w:hAnsi="Times New Roman"/>
        </w:rPr>
        <w:t>la insolvencia e iliquidez de los principales bancos del mundo afecto</w:t>
      </w:r>
      <w:r w:rsidR="00D842FA" w:rsidRPr="007F2355">
        <w:rPr>
          <w:rFonts w:ascii="Times New Roman" w:hAnsi="Times New Roman"/>
        </w:rPr>
        <w:t xml:space="preserve"> en el comercio y en lo financiero. </w:t>
      </w:r>
      <w:r w:rsidR="006C1277" w:rsidRPr="007F2355">
        <w:rPr>
          <w:rFonts w:ascii="Times New Roman" w:hAnsi="Times New Roman"/>
        </w:rPr>
        <w:t xml:space="preserve">Se suma a esta situación, </w:t>
      </w:r>
      <w:r w:rsidR="00543035" w:rsidRPr="007F2355">
        <w:rPr>
          <w:rFonts w:ascii="Times New Roman" w:hAnsi="Times New Roman"/>
        </w:rPr>
        <w:t>conflictos</w:t>
      </w:r>
      <w:r w:rsidR="006C1277" w:rsidRPr="007F2355">
        <w:rPr>
          <w:rFonts w:ascii="Times New Roman" w:hAnsi="Times New Roman"/>
        </w:rPr>
        <w:t xml:space="preserve"> a nivel local</w:t>
      </w:r>
      <w:r w:rsidR="00543035" w:rsidRPr="007F2355">
        <w:rPr>
          <w:rFonts w:ascii="Times New Roman" w:hAnsi="Times New Roman"/>
        </w:rPr>
        <w:t xml:space="preserve"> relacionados con el sector agropecuario y con el traspaso del sistema jubilatorio a la nación. Ante este contexto las medidas adoptadas fueron operaciones de pase en cartera de los bancos y la recompra de bonos.</w:t>
      </w:r>
    </w:p>
    <w:p w14:paraId="3DF4069F" w14:textId="77777777" w:rsidR="00543035" w:rsidRPr="007F2355" w:rsidRDefault="00543035" w:rsidP="007F2355">
      <w:pPr>
        <w:spacing w:line="360" w:lineRule="auto"/>
        <w:jc w:val="both"/>
        <w:rPr>
          <w:rFonts w:ascii="Times New Roman" w:hAnsi="Times New Roman"/>
        </w:rPr>
      </w:pPr>
      <w:r w:rsidRPr="007F2355">
        <w:rPr>
          <w:rFonts w:ascii="Times New Roman" w:hAnsi="Times New Roman"/>
        </w:rPr>
        <w:t>La situación del sector financiero fue una disminución de los depósitos, especialmente en la banca privada y una desaceleración de los créditos. Ante la salida de la convertibilidad se trataba de mantener un tipo de cambio estable, para ello el central salía a vender dólares.</w:t>
      </w:r>
    </w:p>
    <w:p w14:paraId="55AEE39E" w14:textId="77777777" w:rsidR="003B6CD7" w:rsidRPr="007F2355" w:rsidRDefault="00543035" w:rsidP="007F2355">
      <w:pPr>
        <w:spacing w:line="360" w:lineRule="auto"/>
        <w:jc w:val="both"/>
        <w:rPr>
          <w:rFonts w:ascii="Times New Roman" w:hAnsi="Times New Roman"/>
        </w:rPr>
      </w:pPr>
      <w:r w:rsidRPr="007F2355">
        <w:rPr>
          <w:rFonts w:ascii="Times New Roman" w:hAnsi="Times New Roman"/>
        </w:rPr>
        <w:t xml:space="preserve">El objetivo en las acciones del banco central era disminuir la tasa de interés, aumentar la liquidez para dar comienzo a un camino de recuperación y crecimiento, situación que se dio a comienzo </w:t>
      </w:r>
      <w:r w:rsidRPr="007F2355">
        <w:rPr>
          <w:rFonts w:ascii="Times New Roman" w:hAnsi="Times New Roman"/>
        </w:rPr>
        <w:lastRenderedPageBreak/>
        <w:t>de la década del 2010 por la importante recuperación del sector agrícola. El resultado fue mayor solvencia</w:t>
      </w:r>
      <w:r w:rsidR="003B6CD7" w:rsidRPr="007F2355">
        <w:rPr>
          <w:rFonts w:ascii="Times New Roman" w:hAnsi="Times New Roman"/>
        </w:rPr>
        <w:t>, mayor tenencia de los bancos privados.</w:t>
      </w:r>
    </w:p>
    <w:p w14:paraId="315F06C8" w14:textId="77777777" w:rsidR="003B6CD7" w:rsidRPr="007F2355" w:rsidRDefault="003B6CD7" w:rsidP="007F2355">
      <w:pPr>
        <w:spacing w:line="360" w:lineRule="auto"/>
        <w:jc w:val="both"/>
        <w:rPr>
          <w:rFonts w:ascii="Times New Roman" w:hAnsi="Times New Roman"/>
        </w:rPr>
      </w:pPr>
      <w:r w:rsidRPr="007F2355">
        <w:rPr>
          <w:rFonts w:ascii="Times New Roman" w:hAnsi="Times New Roman"/>
        </w:rPr>
        <w:t>Pero no todo fue bueno, el poder ejecutivo comienza a implementar el cepo cambiario, que se extiende hasta la actualidad. Si bien el gobierno de Macri eliminó el cepo, el gobierno que lo sucedió lo volvió a implementar, a ello se le suma las restricciones impuestas para comprar dólares y a las aperturas de cuentas de la moneda extranjera.</w:t>
      </w:r>
    </w:p>
    <w:p w14:paraId="2593ED17" w14:textId="77777777" w:rsidR="000D0E84" w:rsidRPr="007F2355" w:rsidRDefault="003B6CD7" w:rsidP="007F2355">
      <w:pPr>
        <w:spacing w:line="360" w:lineRule="auto"/>
        <w:jc w:val="both"/>
        <w:rPr>
          <w:rFonts w:ascii="Times New Roman" w:hAnsi="Times New Roman"/>
        </w:rPr>
      </w:pPr>
      <w:r w:rsidRPr="007F2355">
        <w:rPr>
          <w:rFonts w:ascii="Times New Roman" w:hAnsi="Times New Roman"/>
        </w:rPr>
        <w:t xml:space="preserve">La composición del sistema financiero está </w:t>
      </w:r>
      <w:r w:rsidR="000D0E84" w:rsidRPr="007F2355">
        <w:rPr>
          <w:rFonts w:ascii="Times New Roman" w:hAnsi="Times New Roman"/>
        </w:rPr>
        <w:t>dada</w:t>
      </w:r>
      <w:r w:rsidRPr="007F2355">
        <w:rPr>
          <w:rFonts w:ascii="Times New Roman" w:hAnsi="Times New Roman"/>
        </w:rPr>
        <w:t xml:space="preserve"> por bancos privados, públicos y por </w:t>
      </w:r>
      <w:r w:rsidR="000D0E84" w:rsidRPr="007F2355">
        <w:rPr>
          <w:rFonts w:ascii="Times New Roman" w:hAnsi="Times New Roman"/>
        </w:rPr>
        <w:t>compañías financieras, su evolución a través del tiempo se ha modificado; a partir del año 2010 comienzan a disminuir, los bancos privados representan el mayor porcentaje de las mismas; según lo muestra el siguiente cuadro:</w:t>
      </w:r>
    </w:p>
    <w:p w14:paraId="36FB5B4E" w14:textId="42B80C40" w:rsidR="000D0E84" w:rsidRDefault="000D0E84" w:rsidP="007F2355">
      <w:pPr>
        <w:spacing w:line="360" w:lineRule="auto"/>
        <w:jc w:val="both"/>
        <w:rPr>
          <w:rFonts w:ascii="Times New Roman" w:hAnsi="Times New Roman"/>
          <w:noProof/>
        </w:rPr>
      </w:pPr>
    </w:p>
    <w:p w14:paraId="29BAD209" w14:textId="2C37E3C2" w:rsidR="007E21D2" w:rsidRPr="007F2355" w:rsidRDefault="007E21D2" w:rsidP="007E21D2">
      <w:pPr>
        <w:spacing w:line="360" w:lineRule="auto"/>
        <w:jc w:val="center"/>
        <w:rPr>
          <w:rFonts w:ascii="Times New Roman" w:hAnsi="Times New Roman"/>
          <w:noProof/>
        </w:rPr>
      </w:pPr>
      <w:r w:rsidRPr="007E21D2">
        <w:rPr>
          <w:rFonts w:ascii="Times New Roman" w:hAnsi="Times New Roman"/>
          <w:noProof/>
          <w:u w:val="single"/>
        </w:rPr>
        <w:t xml:space="preserve">GRAFICO </w:t>
      </w:r>
      <w:r>
        <w:rPr>
          <w:rFonts w:ascii="Times New Roman" w:hAnsi="Times New Roman"/>
          <w:noProof/>
          <w:u w:val="single"/>
        </w:rPr>
        <w:t>2</w:t>
      </w:r>
      <w:r>
        <w:rPr>
          <w:rFonts w:ascii="Times New Roman" w:hAnsi="Times New Roman"/>
          <w:noProof/>
        </w:rPr>
        <w:t>: Evolución de estructura del Sistema Financiero.</w:t>
      </w:r>
    </w:p>
    <w:p w14:paraId="63EA91E8" w14:textId="77777777" w:rsidR="000D0E84" w:rsidRPr="007F2355" w:rsidRDefault="000D0E84" w:rsidP="007F2355">
      <w:pPr>
        <w:spacing w:line="360" w:lineRule="auto"/>
        <w:jc w:val="center"/>
        <w:rPr>
          <w:rFonts w:ascii="Times New Roman" w:hAnsi="Times New Roman"/>
        </w:rPr>
      </w:pPr>
      <w:r w:rsidRPr="007F2355">
        <w:rPr>
          <w:rFonts w:ascii="Times New Roman" w:hAnsi="Times New Roman"/>
          <w:noProof/>
        </w:rPr>
        <w:drawing>
          <wp:inline distT="0" distB="0" distL="0" distR="0" wp14:anchorId="0D15133F" wp14:editId="7C9014A6">
            <wp:extent cx="3456940" cy="2009496"/>
            <wp:effectExtent l="0" t="0" r="0" b="0"/>
            <wp:docPr id="7942839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4283965" name=""/>
                    <pic:cNvPicPr/>
                  </pic:nvPicPr>
                  <pic:blipFill rotWithShape="1">
                    <a:blip r:embed="rId5"/>
                    <a:srcRect l="41098" t="16315" r="18333" b="41644"/>
                    <a:stretch/>
                  </pic:blipFill>
                  <pic:spPr bwMode="auto">
                    <a:xfrm>
                      <a:off x="0" y="0"/>
                      <a:ext cx="3477166" cy="2021253"/>
                    </a:xfrm>
                    <a:prstGeom prst="rect">
                      <a:avLst/>
                    </a:prstGeom>
                    <a:ln>
                      <a:noFill/>
                    </a:ln>
                    <a:extLst>
                      <a:ext uri="{53640926-AAD7-44D8-BBD7-CCE9431645EC}">
                        <a14:shadowObscured xmlns:a14="http://schemas.microsoft.com/office/drawing/2010/main"/>
                      </a:ext>
                    </a:extLst>
                  </pic:spPr>
                </pic:pic>
              </a:graphicData>
            </a:graphic>
          </wp:inline>
        </w:drawing>
      </w:r>
    </w:p>
    <w:p w14:paraId="38EC5191" w14:textId="77777777" w:rsidR="000D0E84" w:rsidRPr="007F2355" w:rsidRDefault="000D0E84" w:rsidP="007F2355">
      <w:pPr>
        <w:spacing w:line="360" w:lineRule="auto"/>
        <w:jc w:val="center"/>
        <w:rPr>
          <w:rFonts w:ascii="Times New Roman" w:hAnsi="Times New Roman"/>
          <w:noProof/>
          <w:vertAlign w:val="superscript"/>
        </w:rPr>
      </w:pPr>
      <w:r w:rsidRPr="007E21D2">
        <w:rPr>
          <w:rFonts w:ascii="Times New Roman" w:hAnsi="Times New Roman"/>
          <w:noProof/>
          <w:u w:val="single"/>
          <w:vertAlign w:val="superscript"/>
        </w:rPr>
        <w:t>FUENTE</w:t>
      </w:r>
      <w:r w:rsidRPr="007F2355">
        <w:rPr>
          <w:rFonts w:ascii="Times New Roman" w:hAnsi="Times New Roman"/>
          <w:noProof/>
          <w:vertAlign w:val="superscript"/>
        </w:rPr>
        <w:t>: EVOLUCION DEL SISTEMA FINANCIERO ARGENTINO. UNIVERSIDAD NACIONAL DE CUYO</w:t>
      </w:r>
    </w:p>
    <w:p w14:paraId="5D01EACF" w14:textId="77D33F86" w:rsidR="000D0E84" w:rsidRDefault="000D0E84" w:rsidP="007F2355">
      <w:pPr>
        <w:spacing w:line="360" w:lineRule="auto"/>
        <w:jc w:val="both"/>
        <w:rPr>
          <w:rFonts w:ascii="Times New Roman" w:hAnsi="Times New Roman"/>
        </w:rPr>
      </w:pPr>
      <w:r w:rsidRPr="007F2355">
        <w:rPr>
          <w:rFonts w:ascii="Times New Roman" w:hAnsi="Times New Roman"/>
        </w:rPr>
        <w:t>Según un informe de la Presidencia de la Nación sobre desarrollo financiero, en el año 2015</w:t>
      </w:r>
      <w:r w:rsidR="00FA0C3A" w:rsidRPr="007F2355">
        <w:rPr>
          <w:rFonts w:ascii="Times New Roman" w:hAnsi="Times New Roman"/>
        </w:rPr>
        <w:t>,</w:t>
      </w:r>
      <w:r w:rsidRPr="007F2355">
        <w:rPr>
          <w:rFonts w:ascii="Times New Roman" w:hAnsi="Times New Roman"/>
        </w:rPr>
        <w:t xml:space="preserve"> presenta</w:t>
      </w:r>
      <w:r w:rsidR="00FA0C3A" w:rsidRPr="007F2355">
        <w:rPr>
          <w:rFonts w:ascii="Times New Roman" w:hAnsi="Times New Roman"/>
        </w:rPr>
        <w:t xml:space="preserve">, en cuanto a depósitos bancarios, crédito privado y a participación del mercado de capitales, el menor porcentaje en relación con otros países de América Latina. Los mismos porcentajes se mantienen para el crédito privado. </w:t>
      </w:r>
    </w:p>
    <w:p w14:paraId="7E38EA04" w14:textId="6876A2D9" w:rsidR="00DC74FA" w:rsidRDefault="00DC74FA" w:rsidP="007F2355">
      <w:pPr>
        <w:spacing w:line="360" w:lineRule="auto"/>
        <w:jc w:val="both"/>
        <w:rPr>
          <w:rFonts w:ascii="Times New Roman" w:hAnsi="Times New Roman"/>
        </w:rPr>
      </w:pPr>
    </w:p>
    <w:p w14:paraId="2A52415D" w14:textId="30A26128" w:rsidR="00DC74FA" w:rsidRDefault="00DC74FA" w:rsidP="007F2355">
      <w:pPr>
        <w:spacing w:line="360" w:lineRule="auto"/>
        <w:jc w:val="both"/>
        <w:rPr>
          <w:rFonts w:ascii="Times New Roman" w:hAnsi="Times New Roman"/>
        </w:rPr>
      </w:pPr>
    </w:p>
    <w:p w14:paraId="6076033C" w14:textId="2A670E7B" w:rsidR="00DC74FA" w:rsidRDefault="00DC74FA" w:rsidP="007F2355">
      <w:pPr>
        <w:spacing w:line="360" w:lineRule="auto"/>
        <w:jc w:val="both"/>
        <w:rPr>
          <w:rFonts w:ascii="Times New Roman" w:hAnsi="Times New Roman"/>
        </w:rPr>
      </w:pPr>
    </w:p>
    <w:p w14:paraId="4EA35DEC" w14:textId="6C570D62" w:rsidR="00DC74FA" w:rsidRDefault="00DC74FA" w:rsidP="007F2355">
      <w:pPr>
        <w:spacing w:line="360" w:lineRule="auto"/>
        <w:jc w:val="both"/>
        <w:rPr>
          <w:rFonts w:ascii="Times New Roman" w:hAnsi="Times New Roman"/>
        </w:rPr>
      </w:pPr>
    </w:p>
    <w:p w14:paraId="62A962F5" w14:textId="174642AC" w:rsidR="00DC74FA" w:rsidRDefault="00DC74FA" w:rsidP="007F2355">
      <w:pPr>
        <w:spacing w:line="360" w:lineRule="auto"/>
        <w:jc w:val="both"/>
        <w:rPr>
          <w:rFonts w:ascii="Times New Roman" w:hAnsi="Times New Roman"/>
        </w:rPr>
      </w:pPr>
    </w:p>
    <w:p w14:paraId="7D788903" w14:textId="77777777" w:rsidR="00DC74FA" w:rsidRPr="007F2355" w:rsidRDefault="00DC74FA" w:rsidP="007F2355">
      <w:pPr>
        <w:spacing w:line="360" w:lineRule="auto"/>
        <w:jc w:val="both"/>
        <w:rPr>
          <w:rFonts w:ascii="Times New Roman" w:hAnsi="Times New Roman"/>
        </w:rPr>
      </w:pPr>
    </w:p>
    <w:p w14:paraId="2D99FDD0" w14:textId="2EEDECB5" w:rsidR="00FA0C3A" w:rsidRPr="00DC74FA" w:rsidRDefault="007E21D2" w:rsidP="00DC74FA">
      <w:pPr>
        <w:spacing w:line="360" w:lineRule="auto"/>
        <w:jc w:val="center"/>
        <w:rPr>
          <w:rFonts w:ascii="Times New Roman" w:hAnsi="Times New Roman"/>
          <w:noProof/>
        </w:rPr>
      </w:pPr>
      <w:r w:rsidRPr="00DC74FA">
        <w:rPr>
          <w:rFonts w:ascii="Times New Roman" w:hAnsi="Times New Roman"/>
          <w:noProof/>
          <w:u w:val="single"/>
        </w:rPr>
        <w:lastRenderedPageBreak/>
        <w:t>GRAFICO 3</w:t>
      </w:r>
      <w:r w:rsidRPr="00DC74FA">
        <w:rPr>
          <w:rFonts w:ascii="Times New Roman" w:hAnsi="Times New Roman"/>
          <w:noProof/>
        </w:rPr>
        <w:t>:</w:t>
      </w:r>
      <w:r w:rsidR="00DC74FA" w:rsidRPr="00DC74FA">
        <w:rPr>
          <w:rFonts w:ascii="Times New Roman" w:hAnsi="Times New Roman"/>
          <w:noProof/>
        </w:rPr>
        <w:t xml:space="preserve"> Participación de mercado, depósitos bancarios y crédito privado.</w:t>
      </w:r>
    </w:p>
    <w:p w14:paraId="07AADCA6" w14:textId="77777777" w:rsidR="00FA0C3A" w:rsidRPr="007F2355" w:rsidRDefault="00FA0C3A" w:rsidP="007F2355">
      <w:pPr>
        <w:spacing w:line="360" w:lineRule="auto"/>
        <w:jc w:val="center"/>
        <w:rPr>
          <w:rFonts w:ascii="Times New Roman" w:hAnsi="Times New Roman"/>
        </w:rPr>
      </w:pPr>
      <w:r w:rsidRPr="007F2355">
        <w:rPr>
          <w:rFonts w:ascii="Times New Roman" w:hAnsi="Times New Roman"/>
          <w:noProof/>
        </w:rPr>
        <w:drawing>
          <wp:inline distT="0" distB="0" distL="0" distR="0" wp14:anchorId="3E75306C" wp14:editId="30CF6C7D">
            <wp:extent cx="4248150" cy="2009775"/>
            <wp:effectExtent l="0" t="0" r="0" b="9525"/>
            <wp:docPr id="5350549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054907" name=""/>
                    <pic:cNvPicPr/>
                  </pic:nvPicPr>
                  <pic:blipFill rotWithShape="1">
                    <a:blip r:embed="rId6"/>
                    <a:srcRect l="26458" t="16001" r="9513" b="32232"/>
                    <a:stretch/>
                  </pic:blipFill>
                  <pic:spPr bwMode="auto">
                    <a:xfrm>
                      <a:off x="0" y="0"/>
                      <a:ext cx="4248150" cy="2009775"/>
                    </a:xfrm>
                    <a:prstGeom prst="rect">
                      <a:avLst/>
                    </a:prstGeom>
                    <a:ln>
                      <a:noFill/>
                    </a:ln>
                    <a:extLst>
                      <a:ext uri="{53640926-AAD7-44D8-BBD7-CCE9431645EC}">
                        <a14:shadowObscured xmlns:a14="http://schemas.microsoft.com/office/drawing/2010/main"/>
                      </a:ext>
                    </a:extLst>
                  </pic:spPr>
                </pic:pic>
              </a:graphicData>
            </a:graphic>
          </wp:inline>
        </w:drawing>
      </w:r>
    </w:p>
    <w:p w14:paraId="40DF75BE" w14:textId="77777777" w:rsidR="00FA0C3A" w:rsidRPr="007F2355" w:rsidRDefault="00FA0C3A" w:rsidP="007F2355">
      <w:pPr>
        <w:spacing w:line="360" w:lineRule="auto"/>
        <w:jc w:val="center"/>
        <w:rPr>
          <w:rFonts w:ascii="Times New Roman" w:hAnsi="Times New Roman"/>
          <w:noProof/>
        </w:rPr>
      </w:pPr>
      <w:r w:rsidRPr="007E21D2">
        <w:rPr>
          <w:rFonts w:ascii="Times New Roman" w:hAnsi="Times New Roman"/>
          <w:u w:val="single"/>
          <w:vertAlign w:val="superscript"/>
        </w:rPr>
        <w:t>FUENTE</w:t>
      </w:r>
      <w:r w:rsidRPr="007F2355">
        <w:rPr>
          <w:rFonts w:ascii="Times New Roman" w:hAnsi="Times New Roman"/>
          <w:vertAlign w:val="superscript"/>
        </w:rPr>
        <w:t>: PRESIDENCIA DE LA NACION ARGENTINA</w:t>
      </w:r>
    </w:p>
    <w:p w14:paraId="57B4BEA8" w14:textId="1EE81B5C" w:rsidR="00FA0C3A" w:rsidRPr="007F2355" w:rsidRDefault="00DC74FA" w:rsidP="00DC74FA">
      <w:pPr>
        <w:spacing w:line="360" w:lineRule="auto"/>
        <w:jc w:val="center"/>
        <w:rPr>
          <w:rFonts w:ascii="Times New Roman" w:hAnsi="Times New Roman"/>
          <w:noProof/>
        </w:rPr>
      </w:pPr>
      <w:r w:rsidRPr="00DC74FA">
        <w:rPr>
          <w:rFonts w:ascii="Times New Roman" w:hAnsi="Times New Roman"/>
          <w:noProof/>
          <w:u w:val="single"/>
        </w:rPr>
        <w:t>GRÁFICO 4</w:t>
      </w:r>
      <w:r>
        <w:rPr>
          <w:rFonts w:ascii="Times New Roman" w:hAnsi="Times New Roman"/>
          <w:noProof/>
        </w:rPr>
        <w:t>: Crédito privado incidencia en el PBI.</w:t>
      </w:r>
    </w:p>
    <w:p w14:paraId="4C031B8E" w14:textId="5D51EF47" w:rsidR="00FA0C3A" w:rsidRPr="007F2355" w:rsidRDefault="00FA0C3A" w:rsidP="00DC74FA">
      <w:pPr>
        <w:spacing w:line="360" w:lineRule="auto"/>
        <w:jc w:val="center"/>
        <w:rPr>
          <w:rFonts w:ascii="Times New Roman" w:hAnsi="Times New Roman"/>
        </w:rPr>
      </w:pPr>
      <w:r w:rsidRPr="007F2355">
        <w:rPr>
          <w:rFonts w:ascii="Times New Roman" w:hAnsi="Times New Roman"/>
          <w:noProof/>
        </w:rPr>
        <w:drawing>
          <wp:inline distT="0" distB="0" distL="0" distR="0" wp14:anchorId="2081B54E" wp14:editId="63FC3389">
            <wp:extent cx="4905375" cy="1852613"/>
            <wp:effectExtent l="0" t="0" r="0" b="0"/>
            <wp:docPr id="199544628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5446281" name=""/>
                    <pic:cNvPicPr/>
                  </pic:nvPicPr>
                  <pic:blipFill rotWithShape="1">
                    <a:blip r:embed="rId7"/>
                    <a:srcRect l="26635" t="34165" r="8629" b="20624"/>
                    <a:stretch/>
                  </pic:blipFill>
                  <pic:spPr bwMode="auto">
                    <a:xfrm>
                      <a:off x="0" y="0"/>
                      <a:ext cx="4905375" cy="1852613"/>
                    </a:xfrm>
                    <a:prstGeom prst="rect">
                      <a:avLst/>
                    </a:prstGeom>
                    <a:ln>
                      <a:noFill/>
                    </a:ln>
                    <a:extLst>
                      <a:ext uri="{53640926-AAD7-44D8-BBD7-CCE9431645EC}">
                        <a14:shadowObscured xmlns:a14="http://schemas.microsoft.com/office/drawing/2010/main"/>
                      </a:ext>
                    </a:extLst>
                  </pic:spPr>
                </pic:pic>
              </a:graphicData>
            </a:graphic>
          </wp:inline>
        </w:drawing>
      </w:r>
    </w:p>
    <w:p w14:paraId="2E44FF56" w14:textId="77777777" w:rsidR="00FA0C3A" w:rsidRPr="007F2355" w:rsidRDefault="00FA0C3A" w:rsidP="007F2355">
      <w:pPr>
        <w:spacing w:line="360" w:lineRule="auto"/>
        <w:jc w:val="center"/>
        <w:rPr>
          <w:rFonts w:ascii="Times New Roman" w:hAnsi="Times New Roman"/>
          <w:vertAlign w:val="superscript"/>
        </w:rPr>
      </w:pPr>
      <w:r w:rsidRPr="00DC74FA">
        <w:rPr>
          <w:rFonts w:ascii="Times New Roman" w:hAnsi="Times New Roman"/>
          <w:u w:val="single"/>
          <w:vertAlign w:val="superscript"/>
        </w:rPr>
        <w:t>FUENTE</w:t>
      </w:r>
      <w:r w:rsidRPr="007F2355">
        <w:rPr>
          <w:rFonts w:ascii="Times New Roman" w:hAnsi="Times New Roman"/>
          <w:vertAlign w:val="superscript"/>
        </w:rPr>
        <w:t>: PRESIDENCIA DE LA NACION ARGENTINA</w:t>
      </w:r>
    </w:p>
    <w:p w14:paraId="28045D89" w14:textId="77777777" w:rsidR="006551FA" w:rsidRPr="007F2355" w:rsidRDefault="00FA0C3A" w:rsidP="007F2355">
      <w:pPr>
        <w:spacing w:line="360" w:lineRule="auto"/>
        <w:jc w:val="both"/>
        <w:rPr>
          <w:rFonts w:ascii="Times New Roman" w:hAnsi="Times New Roman"/>
          <w:noProof/>
        </w:rPr>
      </w:pPr>
      <w:r w:rsidRPr="007F2355">
        <w:rPr>
          <w:rFonts w:ascii="Times New Roman" w:hAnsi="Times New Roman"/>
          <w:noProof/>
        </w:rPr>
        <w:t xml:space="preserve">Ante este contexto el gobierno propone una serie de medidas: estructurales (levantamiento del cepo, reapertura de los mercados, pacto fiscal, sinceramiento fiscal, entre otros), inclusión (créditos a largo plazo protegidos del riesgo de inflación, mejoras en el acceso al sistema financiero, </w:t>
      </w:r>
      <w:r w:rsidR="006551FA" w:rsidRPr="007F2355">
        <w:rPr>
          <w:rFonts w:ascii="Times New Roman" w:hAnsi="Times New Roman"/>
          <w:noProof/>
        </w:rPr>
        <w:t>nuevos medios de pago, financiamiento para pymes, etc), competitividad (identificación digital, aperturas de entidades financieras, plazos fijos online, digitalización, flexibilización de embargos, Obligaciones Negociables simples, modernización y desarrollo del mercado de capitales, fintech, etc), institucionalización (mejoras en el funcionamiento de los actores del mercado de capitales, competencia en el mercado de tarjetas, fortalecimiento delñ mercado asegurador y UIF).</w:t>
      </w:r>
    </w:p>
    <w:p w14:paraId="4A851BB3" w14:textId="73E34454" w:rsidR="00FA0C3A" w:rsidRPr="007F2355" w:rsidRDefault="006551FA" w:rsidP="007F2355">
      <w:pPr>
        <w:spacing w:line="360" w:lineRule="auto"/>
        <w:jc w:val="both"/>
        <w:rPr>
          <w:rFonts w:ascii="Times New Roman" w:hAnsi="Times New Roman"/>
          <w:noProof/>
        </w:rPr>
      </w:pPr>
      <w:r w:rsidRPr="007F2355">
        <w:rPr>
          <w:rFonts w:ascii="Times New Roman" w:hAnsi="Times New Roman"/>
          <w:noProof/>
        </w:rPr>
        <w:t>Todas estas medidas comenzaron a implementarse en el</w:t>
      </w:r>
      <w:r w:rsidR="00A41D93">
        <w:rPr>
          <w:rFonts w:ascii="Times New Roman" w:hAnsi="Times New Roman"/>
          <w:noProof/>
        </w:rPr>
        <w:t xml:space="preserve"> </w:t>
      </w:r>
      <w:r w:rsidRPr="007F2355">
        <w:rPr>
          <w:rFonts w:ascii="Times New Roman" w:hAnsi="Times New Roman"/>
          <w:noProof/>
        </w:rPr>
        <w:t>gobierno de Macri. El gobierno de Alberto Fernandez introdujo nuevamente el cepo.</w:t>
      </w:r>
      <w:r w:rsidR="00FA0C3A" w:rsidRPr="007F2355">
        <w:rPr>
          <w:rFonts w:ascii="Times New Roman" w:hAnsi="Times New Roman"/>
          <w:noProof/>
        </w:rPr>
        <w:t xml:space="preserve"> </w:t>
      </w:r>
    </w:p>
    <w:p w14:paraId="6F846E14" w14:textId="77777777" w:rsidR="00FA0C3A" w:rsidRPr="007F2355" w:rsidRDefault="00FA0C3A" w:rsidP="007F2355">
      <w:pPr>
        <w:spacing w:line="360" w:lineRule="auto"/>
        <w:jc w:val="both"/>
        <w:rPr>
          <w:rFonts w:ascii="Times New Roman" w:hAnsi="Times New Roman"/>
        </w:rPr>
      </w:pPr>
    </w:p>
    <w:p w14:paraId="467FDD1E" w14:textId="6B8E8557" w:rsidR="00FA0C3A" w:rsidRDefault="006E47FB" w:rsidP="007F2355">
      <w:pPr>
        <w:spacing w:line="360" w:lineRule="auto"/>
        <w:jc w:val="both"/>
        <w:rPr>
          <w:rFonts w:ascii="Times New Roman" w:hAnsi="Times New Roman"/>
          <w:u w:val="single"/>
        </w:rPr>
      </w:pPr>
      <w:r w:rsidRPr="006E47FB">
        <w:rPr>
          <w:rFonts w:ascii="Times New Roman" w:hAnsi="Times New Roman"/>
          <w:u w:val="single"/>
        </w:rPr>
        <w:lastRenderedPageBreak/>
        <w:t>BIBLIOGRAFIA</w:t>
      </w:r>
    </w:p>
    <w:p w14:paraId="33FDCC54" w14:textId="702C25F4" w:rsidR="006E47FB" w:rsidRDefault="006E47FB" w:rsidP="00827653">
      <w:pPr>
        <w:spacing w:line="360" w:lineRule="auto"/>
        <w:jc w:val="both"/>
        <w:rPr>
          <w:rFonts w:ascii="Times New Roman" w:hAnsi="Times New Roman"/>
        </w:rPr>
      </w:pPr>
      <w:r>
        <w:rPr>
          <w:rFonts w:ascii="Times New Roman" w:hAnsi="Times New Roman"/>
        </w:rPr>
        <w:t xml:space="preserve">Ministerio de Economía de la provincia de Buenos Aires. República Argentina. “la transformación del sistema financiero argentino. Concentración bancaria, eficiencia y financiamiento. Cuaderno de economía </w:t>
      </w:r>
      <w:proofErr w:type="spellStart"/>
      <w:r>
        <w:rPr>
          <w:rFonts w:ascii="Times New Roman" w:hAnsi="Times New Roman"/>
        </w:rPr>
        <w:t>N°</w:t>
      </w:r>
      <w:proofErr w:type="spellEnd"/>
      <w:r>
        <w:rPr>
          <w:rFonts w:ascii="Times New Roman" w:hAnsi="Times New Roman"/>
        </w:rPr>
        <w:t xml:space="preserve"> 53. 2000</w:t>
      </w:r>
    </w:p>
    <w:p w14:paraId="1907B591" w14:textId="32957D42" w:rsidR="006E47FB" w:rsidRDefault="006E47FB" w:rsidP="00827653">
      <w:pPr>
        <w:spacing w:line="360" w:lineRule="auto"/>
        <w:jc w:val="both"/>
        <w:rPr>
          <w:rFonts w:ascii="Times New Roman" w:hAnsi="Times New Roman"/>
        </w:rPr>
      </w:pPr>
      <w:r>
        <w:rPr>
          <w:rFonts w:ascii="Times New Roman" w:hAnsi="Times New Roman"/>
        </w:rPr>
        <w:t>Presidencia de la Nación. “Desarrollo Financiero”. 2015</w:t>
      </w:r>
    </w:p>
    <w:p w14:paraId="706F0222" w14:textId="77777777" w:rsidR="00827653" w:rsidRDefault="006E47FB" w:rsidP="00827653">
      <w:pPr>
        <w:spacing w:line="360" w:lineRule="auto"/>
        <w:jc w:val="both"/>
        <w:rPr>
          <w:rFonts w:ascii="Times New Roman" w:hAnsi="Times New Roman"/>
        </w:rPr>
      </w:pPr>
      <w:proofErr w:type="spellStart"/>
      <w:r>
        <w:rPr>
          <w:rFonts w:ascii="Times New Roman" w:hAnsi="Times New Roman"/>
        </w:rPr>
        <w:t>Damill</w:t>
      </w:r>
      <w:proofErr w:type="spellEnd"/>
      <w:r>
        <w:rPr>
          <w:rFonts w:ascii="Times New Roman" w:hAnsi="Times New Roman"/>
        </w:rPr>
        <w:t xml:space="preserve">, M; Salvatore, N; Simpson, L. Diagnóstico y perspectiva del sistema financiero argentino </w:t>
      </w:r>
      <w:proofErr w:type="gramStart"/>
      <w:r>
        <w:rPr>
          <w:rFonts w:ascii="Times New Roman" w:hAnsi="Times New Roman"/>
        </w:rPr>
        <w:t>II)El</w:t>
      </w:r>
      <w:proofErr w:type="gramEnd"/>
      <w:r>
        <w:rPr>
          <w:rFonts w:ascii="Times New Roman" w:hAnsi="Times New Roman"/>
        </w:rPr>
        <w:t xml:space="preserve"> sistema financiero de la argentina bajo el régimen de la convertibilidad y la transición a un nuevo modelo de intermediación. Centro de estudio de la </w:t>
      </w:r>
      <w:r w:rsidR="00827653">
        <w:rPr>
          <w:rFonts w:ascii="Times New Roman" w:hAnsi="Times New Roman"/>
        </w:rPr>
        <w:t xml:space="preserve">situación </w:t>
      </w:r>
      <w:r>
        <w:rPr>
          <w:rFonts w:ascii="Times New Roman" w:hAnsi="Times New Roman"/>
        </w:rPr>
        <w:t>y perspectiva de la argentina.</w:t>
      </w:r>
      <w:r w:rsidR="00827653">
        <w:rPr>
          <w:rFonts w:ascii="Times New Roman" w:hAnsi="Times New Roman"/>
        </w:rPr>
        <w:t xml:space="preserve"> 2003</w:t>
      </w:r>
    </w:p>
    <w:p w14:paraId="2BC5A005" w14:textId="77777777" w:rsidR="00827653" w:rsidRDefault="00827653" w:rsidP="00827653">
      <w:pPr>
        <w:spacing w:line="360" w:lineRule="auto"/>
        <w:jc w:val="both"/>
        <w:rPr>
          <w:rFonts w:ascii="Times New Roman" w:hAnsi="Times New Roman"/>
        </w:rPr>
      </w:pPr>
      <w:proofErr w:type="spellStart"/>
      <w:r>
        <w:rPr>
          <w:rFonts w:ascii="Times New Roman" w:hAnsi="Times New Roman"/>
        </w:rPr>
        <w:t>Navesi</w:t>
      </w:r>
      <w:proofErr w:type="spellEnd"/>
      <w:r>
        <w:rPr>
          <w:rFonts w:ascii="Times New Roman" w:hAnsi="Times New Roman"/>
        </w:rPr>
        <w:t>, J. Evolución del sector financiero argentino. Universidad Nacional de Cuyo. 2013</w:t>
      </w:r>
    </w:p>
    <w:p w14:paraId="61BF74C5" w14:textId="77777777" w:rsidR="00827653" w:rsidRDefault="00827653" w:rsidP="00827653">
      <w:pPr>
        <w:spacing w:line="360" w:lineRule="auto"/>
        <w:jc w:val="both"/>
        <w:rPr>
          <w:rFonts w:ascii="Times New Roman" w:hAnsi="Times New Roman"/>
        </w:rPr>
      </w:pPr>
      <w:r>
        <w:rPr>
          <w:rFonts w:ascii="Times New Roman" w:hAnsi="Times New Roman"/>
        </w:rPr>
        <w:t>Banco Central de la República Argentina. Marco Legal del Sistema Financiero Argentino. 2023</w:t>
      </w:r>
    </w:p>
    <w:p w14:paraId="2A3630D3" w14:textId="2C3211BA" w:rsidR="006E47FB" w:rsidRDefault="00827653" w:rsidP="00827653">
      <w:pPr>
        <w:autoSpaceDE w:val="0"/>
        <w:autoSpaceDN w:val="0"/>
        <w:adjustRightInd w:val="0"/>
        <w:spacing w:after="0" w:line="360" w:lineRule="auto"/>
        <w:jc w:val="both"/>
        <w:rPr>
          <w:rFonts w:ascii="Times New Roman" w:hAnsi="Times New Roman"/>
        </w:rPr>
      </w:pPr>
      <w:proofErr w:type="spellStart"/>
      <w:r>
        <w:rPr>
          <w:rFonts w:ascii="Times New Roman" w:hAnsi="Times New Roman"/>
        </w:rPr>
        <w:t>Cibilis</w:t>
      </w:r>
      <w:proofErr w:type="spellEnd"/>
      <w:r>
        <w:rPr>
          <w:rFonts w:ascii="Times New Roman" w:hAnsi="Times New Roman"/>
        </w:rPr>
        <w:t xml:space="preserve">, A; </w:t>
      </w:r>
      <w:proofErr w:type="spellStart"/>
      <w:r>
        <w:rPr>
          <w:rFonts w:ascii="Times New Roman" w:hAnsi="Times New Roman"/>
        </w:rPr>
        <w:t>Allami</w:t>
      </w:r>
      <w:proofErr w:type="spellEnd"/>
      <w:r>
        <w:rPr>
          <w:rFonts w:ascii="Times New Roman" w:hAnsi="Times New Roman"/>
        </w:rPr>
        <w:t xml:space="preserve">, C. </w:t>
      </w:r>
      <w:r w:rsidRPr="00827653">
        <w:rPr>
          <w:rFonts w:ascii="TimesNewRomanPS-BoldMT" w:hAnsi="TimesNewRomanPS-BoldMT" w:cs="TimesNewRomanPS-BoldMT"/>
          <w:kern w:val="0"/>
        </w:rPr>
        <w:t>El sistema financiero argentino desde la reforma de 1977</w:t>
      </w:r>
      <w:r>
        <w:rPr>
          <w:rFonts w:ascii="TimesNewRomanPS-BoldMT" w:hAnsi="TimesNewRomanPS-BoldMT" w:cs="TimesNewRomanPS-BoldMT"/>
          <w:kern w:val="0"/>
        </w:rPr>
        <w:t xml:space="preserve"> </w:t>
      </w:r>
      <w:r w:rsidRPr="00827653">
        <w:rPr>
          <w:rFonts w:ascii="TimesNewRomanPS-BoldMT" w:hAnsi="TimesNewRomanPS-BoldMT" w:cs="TimesNewRomanPS-BoldMT"/>
          <w:kern w:val="0"/>
        </w:rPr>
        <w:t>hasta la</w:t>
      </w:r>
      <w:r>
        <w:rPr>
          <w:rFonts w:ascii="TimesNewRomanPS-BoldMT" w:hAnsi="TimesNewRomanPS-BoldMT" w:cs="TimesNewRomanPS-BoldMT"/>
          <w:kern w:val="0"/>
        </w:rPr>
        <w:t xml:space="preserve"> </w:t>
      </w:r>
      <w:r w:rsidRPr="00827653">
        <w:rPr>
          <w:rFonts w:ascii="TimesNewRomanPS-BoldMT" w:hAnsi="TimesNewRomanPS-BoldMT" w:cs="TimesNewRomanPS-BoldMT"/>
          <w:kern w:val="0"/>
        </w:rPr>
        <w:t>actualidad: rupturas y continuidades</w:t>
      </w:r>
      <w:r w:rsidRPr="00827653">
        <w:rPr>
          <w:rFonts w:ascii="TimesNewRomanPS-BoldMT" w:hAnsi="TimesNewRomanPS-BoldMT" w:cs="TimesNewRomanPS-BoldMT"/>
          <w:b/>
          <w:bCs/>
          <w:kern w:val="0"/>
        </w:rPr>
        <w:t>.</w:t>
      </w:r>
      <w:r w:rsidR="006E47FB" w:rsidRPr="00827653">
        <w:rPr>
          <w:rFonts w:ascii="Times New Roman" w:hAnsi="Times New Roman"/>
        </w:rPr>
        <w:t xml:space="preserve"> </w:t>
      </w:r>
      <w:r>
        <w:rPr>
          <w:rFonts w:ascii="Times New Roman" w:hAnsi="Times New Roman"/>
        </w:rPr>
        <w:t>2008</w:t>
      </w:r>
    </w:p>
    <w:p w14:paraId="5829B624" w14:textId="5018F512" w:rsidR="00827653" w:rsidRPr="00827653" w:rsidRDefault="00827653" w:rsidP="00827653">
      <w:pPr>
        <w:pStyle w:val="Default"/>
        <w:rPr>
          <w:rFonts w:ascii="Times New Roman" w:hAnsi="Times New Roman" w:cs="Times New Roman"/>
          <w:sz w:val="22"/>
          <w:szCs w:val="22"/>
        </w:rPr>
      </w:pPr>
      <w:r>
        <w:rPr>
          <w:rFonts w:ascii="Times New Roman" w:hAnsi="Times New Roman"/>
        </w:rPr>
        <w:t xml:space="preserve">Di Ciano, M. </w:t>
      </w:r>
      <w:r>
        <w:rPr>
          <w:rFonts w:ascii="Times New Roman" w:hAnsi="Times New Roman" w:cs="Times New Roman"/>
          <w:sz w:val="22"/>
          <w:szCs w:val="22"/>
        </w:rPr>
        <w:t>L</w:t>
      </w:r>
      <w:r w:rsidRPr="00827653">
        <w:rPr>
          <w:rFonts w:ascii="Times New Roman" w:hAnsi="Times New Roman" w:cs="Times New Roman"/>
          <w:sz w:val="22"/>
          <w:szCs w:val="22"/>
        </w:rPr>
        <w:t>a estructura del sistema financiero argentino”</w:t>
      </w:r>
      <w:r>
        <w:rPr>
          <w:rFonts w:ascii="Times New Roman" w:hAnsi="Times New Roman" w:cs="Times New Roman"/>
          <w:sz w:val="22"/>
          <w:szCs w:val="22"/>
        </w:rPr>
        <w:t>. 2014</w:t>
      </w:r>
    </w:p>
    <w:p w14:paraId="402F5B40" w14:textId="77777777" w:rsidR="006E47FB" w:rsidRPr="006E47FB" w:rsidRDefault="006E47FB" w:rsidP="00827653">
      <w:pPr>
        <w:spacing w:line="360" w:lineRule="auto"/>
        <w:jc w:val="both"/>
        <w:rPr>
          <w:rFonts w:ascii="Times New Roman" w:hAnsi="Times New Roman"/>
        </w:rPr>
      </w:pPr>
    </w:p>
    <w:p w14:paraId="32529873" w14:textId="77777777" w:rsidR="00543035" w:rsidRPr="007F2355" w:rsidRDefault="000D0E84" w:rsidP="007F2355">
      <w:pPr>
        <w:spacing w:line="360" w:lineRule="auto"/>
        <w:jc w:val="both"/>
        <w:rPr>
          <w:rFonts w:ascii="Times New Roman" w:hAnsi="Times New Roman"/>
        </w:rPr>
      </w:pPr>
      <w:r w:rsidRPr="007F2355">
        <w:rPr>
          <w:rFonts w:ascii="Times New Roman" w:hAnsi="Times New Roman"/>
        </w:rPr>
        <w:t xml:space="preserve"> </w:t>
      </w:r>
    </w:p>
    <w:p w14:paraId="25AF315F" w14:textId="77777777" w:rsidR="00CA46CA" w:rsidRPr="007F2355" w:rsidRDefault="00D11119" w:rsidP="007F2355">
      <w:pPr>
        <w:spacing w:line="360" w:lineRule="auto"/>
        <w:jc w:val="both"/>
        <w:rPr>
          <w:rFonts w:ascii="Times New Roman" w:hAnsi="Times New Roman"/>
        </w:rPr>
      </w:pPr>
      <w:r w:rsidRPr="007F2355">
        <w:rPr>
          <w:rFonts w:ascii="Times New Roman" w:hAnsi="Times New Roman"/>
        </w:rPr>
        <w:t xml:space="preserve"> </w:t>
      </w:r>
      <w:r w:rsidR="008863D8" w:rsidRPr="007F2355">
        <w:rPr>
          <w:rFonts w:ascii="Times New Roman" w:hAnsi="Times New Roman"/>
        </w:rPr>
        <w:t xml:space="preserve">  </w:t>
      </w:r>
      <w:r w:rsidR="00CA7AFD" w:rsidRPr="007F2355">
        <w:rPr>
          <w:rFonts w:ascii="Times New Roman" w:hAnsi="Times New Roman"/>
        </w:rPr>
        <w:t xml:space="preserve">  </w:t>
      </w:r>
      <w:r w:rsidR="00CA46CA" w:rsidRPr="007F2355">
        <w:rPr>
          <w:rFonts w:ascii="Times New Roman" w:hAnsi="Times New Roman"/>
        </w:rPr>
        <w:t xml:space="preserve"> </w:t>
      </w:r>
    </w:p>
    <w:sectPr w:rsidR="00CA46CA" w:rsidRPr="007F235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arajita">
    <w:altName w:val="Aparajita"/>
    <w:charset w:val="00"/>
    <w:family w:val="roman"/>
    <w:pitch w:val="variable"/>
    <w:sig w:usb0="00008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27B"/>
    <w:rsid w:val="000D0E84"/>
    <w:rsid w:val="003B6CD7"/>
    <w:rsid w:val="00532E8B"/>
    <w:rsid w:val="00543035"/>
    <w:rsid w:val="00614B96"/>
    <w:rsid w:val="006551FA"/>
    <w:rsid w:val="006C1277"/>
    <w:rsid w:val="006E47FB"/>
    <w:rsid w:val="0079527B"/>
    <w:rsid w:val="007E21D2"/>
    <w:rsid w:val="007F2355"/>
    <w:rsid w:val="00827653"/>
    <w:rsid w:val="00830686"/>
    <w:rsid w:val="008863D8"/>
    <w:rsid w:val="008E6F9B"/>
    <w:rsid w:val="00A41D93"/>
    <w:rsid w:val="00AD6374"/>
    <w:rsid w:val="00B74A46"/>
    <w:rsid w:val="00BA770F"/>
    <w:rsid w:val="00BD2149"/>
    <w:rsid w:val="00CA46CA"/>
    <w:rsid w:val="00CA7AFD"/>
    <w:rsid w:val="00D11119"/>
    <w:rsid w:val="00D842FA"/>
    <w:rsid w:val="00DC74FA"/>
    <w:rsid w:val="00FA0C3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F7639"/>
  <w15:chartTrackingRefBased/>
  <w15:docId w15:val="{798EDE54-7E98-4018-B8EB-90A3B56AFC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0C3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827653"/>
    <w:pPr>
      <w:autoSpaceDE w:val="0"/>
      <w:autoSpaceDN w:val="0"/>
      <w:adjustRightInd w:val="0"/>
      <w:spacing w:after="0" w:line="240" w:lineRule="auto"/>
    </w:pPr>
    <w:rPr>
      <w:rFonts w:ascii="Aparajita" w:hAnsi="Aparajita" w:cs="Aparajita"/>
      <w:color w:val="000000"/>
      <w:kern w:val="0"/>
      <w:sz w:val="24"/>
      <w:szCs w:val="24"/>
    </w:rPr>
  </w:style>
  <w:style w:type="character" w:styleId="Hipervnculo">
    <w:name w:val="Hyperlink"/>
    <w:basedOn w:val="Fuentedeprrafopredeter"/>
    <w:uiPriority w:val="99"/>
    <w:semiHidden/>
    <w:unhideWhenUsed/>
    <w:rsid w:val="00AD63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524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1763</Words>
  <Characters>9697</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frairemariela@gmail.com</cp:lastModifiedBy>
  <cp:revision>5</cp:revision>
  <dcterms:created xsi:type="dcterms:W3CDTF">2023-09-25T16:50:00Z</dcterms:created>
  <dcterms:modified xsi:type="dcterms:W3CDTF">2023-09-30T19:08:00Z</dcterms:modified>
</cp:coreProperties>
</file>