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Título:</w:t>
      </w:r>
      <w:r w:rsidDel="00000000" w:rsidR="00000000" w:rsidRPr="00000000">
        <w:rPr>
          <w:rFonts w:ascii="Times New Roman" w:cs="Times New Roman" w:eastAsia="Times New Roman" w:hAnsi="Times New Roman"/>
          <w:rtl w:val="0"/>
        </w:rPr>
        <w:t xml:space="preserve"> Análisis de los sistemas de medición de la actividad turística en la provincia de Córdoba.</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2"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Línea temática en la que se inscribe el trabajo:</w:t>
      </w:r>
      <w:r w:rsidDel="00000000" w:rsidR="00000000" w:rsidRPr="00000000">
        <w:rPr>
          <w:rFonts w:ascii="Times New Roman" w:cs="Times New Roman" w:eastAsia="Times New Roman" w:hAnsi="Times New Roman"/>
          <w:rtl w:val="0"/>
        </w:rPr>
        <w:t xml:space="preserve"> 8 - </w:t>
      </w:r>
      <w:r w:rsidDel="00000000" w:rsidR="00000000" w:rsidRPr="00000000">
        <w:rPr>
          <w:rFonts w:ascii="Times New Roman" w:cs="Times New Roman" w:eastAsia="Times New Roman" w:hAnsi="Times New Roman"/>
          <w:i w:val="1"/>
          <w:rtl w:val="0"/>
        </w:rPr>
        <w:t xml:space="preserve">Desarrollo en las economías regionales.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2"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Autores/as: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Braida Baldo, Aylén. Instituto Académico Pedagógico de Ciencias Sociales- Universidad Nacional de Villa María. 25 de mayo 1065, CP 5000, Córdoba - </w:t>
      </w:r>
      <w:hyperlink r:id="rId7">
        <w:r w:rsidDel="00000000" w:rsidR="00000000" w:rsidRPr="00000000">
          <w:rPr>
            <w:rFonts w:ascii="Times New Roman" w:cs="Times New Roman" w:eastAsia="Times New Roman" w:hAnsi="Times New Roman"/>
            <w:color w:val="1155cc"/>
            <w:u w:val="single"/>
            <w:rtl w:val="0"/>
          </w:rPr>
          <w:t xml:space="preserve">aylenbbaldo@gmail.com</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Zuliani, Oscar Federico. Instituto Académico Pedagógico de Ciencias Sociales- Universidad Nacional de Villa María. 25 de mayo 1065, CP 5000, Córdoba. fzuliani@ics.unvm.edu.ar</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Nocelli Salas, Mariana Inés. Instituto Académico Pedagógico de Ciencias Sociales- Universidad Nacional de Villa María. 25 de mayo 1065, CP 5000, Córdoba. </w:t>
      </w:r>
      <w:hyperlink r:id="rId8">
        <w:r w:rsidDel="00000000" w:rsidR="00000000" w:rsidRPr="00000000">
          <w:rPr>
            <w:color w:val="0000ee"/>
            <w:u w:val="single"/>
            <w:shd w:fill="auto" w:val="clear"/>
            <w:rtl w:val="0"/>
          </w:rPr>
          <w:t xml:space="preserve">profnocelli@gmail.com</w:t>
        </w:r>
      </w:hyperlink>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Villacorta, Milagros. Instituto Académico Pedagógico de Ciencias Sociales- Universidad Nacional de Villa María. 25 de mayo 1065, CP 5000, Córdoba. </w:t>
      </w:r>
      <w:hyperlink r:id="rId9">
        <w:r w:rsidDel="00000000" w:rsidR="00000000" w:rsidRPr="00000000">
          <w:rPr>
            <w:color w:val="0000ee"/>
            <w:u w:val="single"/>
            <w:shd w:fill="auto" w:val="clear"/>
            <w:rtl w:val="0"/>
          </w:rPr>
          <w:t xml:space="preserve">milivillacorta2@gmail.com</w:t>
        </w:r>
      </w:hyperlink>
      <w:r w:rsidDel="00000000" w:rsidR="00000000" w:rsidRPr="00000000">
        <w:rPr>
          <w:rtl w:val="0"/>
        </w:rPr>
      </w:r>
    </w:p>
    <w:p w:rsidR="00000000" w:rsidDel="00000000" w:rsidP="00000000" w:rsidRDefault="00000000" w:rsidRPr="00000000" w14:paraId="00000008">
      <w:pPr>
        <w:spacing w:before="18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Palabras claves: Desarrollo territorial, turismo, sistemas de medición </w:t>
      </w:r>
    </w:p>
    <w:p w:rsidR="00000000" w:rsidDel="00000000" w:rsidP="00000000" w:rsidRDefault="00000000" w:rsidRPr="00000000" w14:paraId="00000009">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widowControl w:val="0"/>
        <w:spacing w:line="360" w:lineRule="auto"/>
        <w:ind w:right="4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INTRODUCCIÓN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actividad turística ocupa en la actualidad un importante papel en la estructura económica global. En el marco de lo que numerosos autores denominan la </w:t>
      </w:r>
      <w:r w:rsidDel="00000000" w:rsidR="00000000" w:rsidRPr="00000000">
        <w:rPr>
          <w:rFonts w:ascii="Times New Roman" w:cs="Times New Roman" w:eastAsia="Times New Roman" w:hAnsi="Times New Roman"/>
          <w:rtl w:val="0"/>
        </w:rPr>
        <w:t xml:space="preserve">economía del conocimiento,</w:t>
      </w:r>
      <w:r w:rsidDel="00000000" w:rsidR="00000000" w:rsidRPr="00000000">
        <w:rPr>
          <w:rFonts w:ascii="Times New Roman" w:cs="Times New Roman" w:eastAsia="Times New Roman" w:hAnsi="Times New Roman"/>
          <w:rtl w:val="0"/>
        </w:rPr>
        <w:t xml:space="preserve"> es decir la creciente importancia que adquiere el conocimiento como un recurso clave en la gestión de sociedades y organizaciones,  es que emerge en los distintos sectores de la actividad turística una creciente demanda de contar con datos e información fehaciente para la toma de decisiones.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respuestas construidas hasta ahora difieren en perspectivas teóricas, miradas sobre el concepto mismo de turismo, herramientas, metodologías y sujetos clave en la búsqueda de información. La presente ponencia intentará brindar un estado de situación de estos debates, así como un breve acercamiento de cuáles de estas herramientas se están implementando en el territorio de la provincia de Córdoba.</w:t>
      </w:r>
    </w:p>
    <w:p w:rsidR="00000000" w:rsidDel="00000000" w:rsidP="00000000" w:rsidRDefault="00000000" w:rsidRPr="00000000" w14:paraId="0000000D">
      <w:pPr>
        <w:widowControl w:val="0"/>
        <w:spacing w:line="240" w:lineRule="auto"/>
        <w:ind w:right="42"/>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widowControl w:val="0"/>
        <w:spacing w:line="240" w:lineRule="auto"/>
        <w:ind w:right="42"/>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ESTADO ACTUAL DE LOS SIT EN ARGENTINA</w:t>
      </w:r>
    </w:p>
    <w:p w:rsidR="00000000" w:rsidDel="00000000" w:rsidP="00000000" w:rsidRDefault="00000000" w:rsidRPr="00000000" w14:paraId="0000000F">
      <w:pPr>
        <w:widowControl w:val="0"/>
        <w:spacing w:line="240" w:lineRule="auto"/>
        <w:ind w:left="0" w:right="42" w:firstLine="0"/>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widowControl w:val="0"/>
        <w:shd w:fill="ffffff" w:val="clea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Mantero (2013) define al turismo como </w:t>
      </w:r>
      <w:r w:rsidDel="00000000" w:rsidR="00000000" w:rsidRPr="00000000">
        <w:rPr>
          <w:rFonts w:ascii="Times New Roman" w:cs="Times New Roman" w:eastAsia="Times New Roman" w:hAnsi="Times New Roman"/>
          <w:rtl w:val="0"/>
        </w:rPr>
        <w:t xml:space="preserve">el desplazamiento con objetivos de descanso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recreación y creación</w:t>
      </w:r>
      <w:r w:rsidDel="00000000" w:rsidR="00000000" w:rsidRPr="00000000">
        <w:rPr>
          <w:rFonts w:ascii="Times New Roman" w:cs="Times New Roman" w:eastAsia="Times New Roman" w:hAnsi="Times New Roman"/>
          <w:rtl w:val="0"/>
        </w:rPr>
        <w:t xml:space="preserve">. Si bien no es objetivo del presente trabajo discutir sobre las posibles definiciones de la actividad, es menester invocar la centralidad que revisten ciertos elementos dentro del turismo: depende ciertamente de un espacio físico, pero fundamentalmente del </w:t>
      </w:r>
      <w:r w:rsidDel="00000000" w:rsidR="00000000" w:rsidRPr="00000000">
        <w:rPr>
          <w:rFonts w:ascii="Times New Roman" w:cs="Times New Roman" w:eastAsia="Times New Roman" w:hAnsi="Times New Roman"/>
          <w:rtl w:val="0"/>
        </w:rPr>
        <w:t xml:space="preserve">sujeto </w:t>
      </w:r>
      <w:r w:rsidDel="00000000" w:rsidR="00000000" w:rsidRPr="00000000">
        <w:rPr>
          <w:rFonts w:ascii="Times New Roman" w:cs="Times New Roman" w:eastAsia="Times New Roman" w:hAnsi="Times New Roman"/>
          <w:rtl w:val="0"/>
        </w:rPr>
        <w:t xml:space="preserve">que se desplaza y utiliza su tiempo de esta forma, con diversos fines.</w:t>
      </w:r>
    </w:p>
    <w:p w:rsidR="00000000" w:rsidDel="00000000" w:rsidP="00000000" w:rsidRDefault="00000000" w:rsidRPr="00000000" w14:paraId="00000011">
      <w:pPr>
        <w:widowControl w:val="0"/>
        <w:shd w:fill="ffffff" w:val="clear"/>
        <w:spacing w:line="36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respecto, el Sistema de Información Turística Argentina (SINTA) define a un tipo específico de viajero como sujeto de medición: el </w:t>
      </w:r>
      <w:r w:rsidDel="00000000" w:rsidR="00000000" w:rsidRPr="00000000">
        <w:rPr>
          <w:rFonts w:ascii="Times New Roman" w:cs="Times New Roman" w:eastAsia="Times New Roman" w:hAnsi="Times New Roman"/>
          <w:rtl w:val="0"/>
        </w:rPr>
        <w:t xml:space="preserve">visitante</w:t>
      </w:r>
      <w:r w:rsidDel="00000000" w:rsidR="00000000" w:rsidRPr="00000000">
        <w:rPr>
          <w:rFonts w:ascii="Times New Roman" w:cs="Times New Roman" w:eastAsia="Times New Roman" w:hAnsi="Times New Roman"/>
          <w:rtl w:val="0"/>
        </w:rPr>
        <w:t xml:space="preserve">, que se construye como la categoría base sobre la cual se estructuran los indicadores. La definición implica a toda persona que viaja por una duración menor de un año a un destino distinto de su entorno habitual y cuya finalidad principal debe ser diferente de ser empleado laboralmente en el lugar visitado. </w:t>
      </w:r>
    </w:p>
    <w:p w:rsidR="00000000" w:rsidDel="00000000" w:rsidP="00000000" w:rsidRDefault="00000000" w:rsidRPr="00000000" w14:paraId="00000012">
      <w:pPr>
        <w:widowControl w:val="0"/>
        <w:shd w:fill="ffffff" w:val="clea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relación a la producción de estadística de turismo, lo primero que se debe aclarar es la fuerte incidencia de ciertas definiciones teóricas y metodológicas:  </w:t>
      </w:r>
      <w:r w:rsidDel="00000000" w:rsidR="00000000" w:rsidRPr="00000000">
        <w:rPr>
          <w:rFonts w:ascii="Times New Roman" w:cs="Times New Roman" w:eastAsia="Times New Roman" w:hAnsi="Times New Roman"/>
          <w:rtl w:val="0"/>
        </w:rPr>
        <w:t xml:space="preserve">qué se debe medir, cómo se debe hacerlo</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a partir de qué sujetos</w:t>
      </w:r>
      <w:r w:rsidDel="00000000" w:rsidR="00000000" w:rsidRPr="00000000">
        <w:rPr>
          <w:rFonts w:ascii="Times New Roman" w:cs="Times New Roman" w:eastAsia="Times New Roman" w:hAnsi="Times New Roman"/>
          <w:rtl w:val="0"/>
        </w:rPr>
        <w:t xml:space="preserve">. La implicancia, en este sentido, es absoluta;  si no se parte de un mismo concepto que recorte taxativamente lo que se está midiendo, los resultados a los que se arribe no serán comparables.</w:t>
      </w:r>
    </w:p>
    <w:p w:rsidR="00000000" w:rsidDel="00000000" w:rsidP="00000000" w:rsidRDefault="00000000" w:rsidRPr="00000000" w14:paraId="00000013">
      <w:pPr>
        <w:widowControl w:val="0"/>
        <w:shd w:fill="ffffff" w:val="clea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denominado efecto multiplicador del turismo ha incentivado profundamente el interés por el cálculo de la contribución económica que este aporta. De esto deriva una cuestión también fundamental, que es la complejidad que implica la definición de los límites entre aquellos efectos generados de manera directa (los servicios considerados “estrictamente turísticos” cuyos mayores exponentes son los rubros hotelero, gastronómico, de transporte y recreación) y de manera indirecta (comercio, salud, cultura, entre otros) principalmente por su carácter transversal, que permite </w:t>
      </w:r>
      <w:r w:rsidDel="00000000" w:rsidR="00000000" w:rsidRPr="00000000">
        <w:rPr>
          <w:rFonts w:ascii="Times New Roman" w:cs="Times New Roman" w:eastAsia="Times New Roman" w:hAnsi="Times New Roman"/>
          <w:rtl w:val="0"/>
        </w:rPr>
        <w:t xml:space="preserve">motorizar</w:t>
      </w:r>
      <w:r w:rsidDel="00000000" w:rsidR="00000000" w:rsidRPr="00000000">
        <w:rPr>
          <w:rFonts w:ascii="Times New Roman" w:cs="Times New Roman" w:eastAsia="Times New Roman" w:hAnsi="Times New Roman"/>
          <w:rtl w:val="0"/>
        </w:rPr>
        <w:t xml:space="preserve"> sectores muy diversos al mismo tiempo. </w:t>
      </w:r>
    </w:p>
    <w:p w:rsidR="00000000" w:rsidDel="00000000" w:rsidP="00000000" w:rsidRDefault="00000000" w:rsidRPr="00000000" w14:paraId="00000014">
      <w:pPr>
        <w:widowControl w:val="0"/>
        <w:shd w:fill="ffffff" w:val="clea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ese sentido, la medición del impacto económico del turismo puede realizarse desde la perspectiva de la demanda, la perspectiva de la oferta o bien desde la conciliación entre ambas. La perspectiva de la demanda consiste en medir todos los gastos en bienes y servicios que realiza un visitante en el contexto de su viaje, sin importar si el sector económico que provee dichos bienes o servicios es característico del turismo o no.</w:t>
      </w:r>
    </w:p>
    <w:p w:rsidR="00000000" w:rsidDel="00000000" w:rsidP="00000000" w:rsidRDefault="00000000" w:rsidRPr="00000000" w14:paraId="00000015">
      <w:pPr>
        <w:widowControl w:val="0"/>
        <w:shd w:fill="ffffff" w:val="clea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cuanto a la perspectiva de la oferta, la misma consiste en la medición de la producción realizada por todas aquellas actividades características del turismo. Es importante notar, en este punto, que el foco está puesto en la producción total del sector sin tener en cuenta quiénes efectivamente consumen sus productos (si son o no visitantes).</w:t>
      </w:r>
    </w:p>
    <w:p w:rsidR="00000000" w:rsidDel="00000000" w:rsidP="00000000" w:rsidRDefault="00000000" w:rsidRPr="00000000" w14:paraId="00000016">
      <w:pPr>
        <w:widowControl w:val="0"/>
        <w:shd w:fill="ffffff" w:val="clea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Finalmente, se puede realizar una conciliación entre la demanda de los visitantes y la oferta turística. El centro de esta perspectiva, se encuentra en poder calcular el valor agregado que se generó en una economía en particular para atender directamente a la demanda de bienes y servicios realizada por los visitantes y compararlo con el valor agregado del total de dicha economía. La herramienta estadística apropiada para la realización de este tipo de medición es una Cuenta Satélite de Turismo.</w:t>
      </w:r>
    </w:p>
    <w:p w:rsidR="00000000" w:rsidDel="00000000" w:rsidP="00000000" w:rsidRDefault="00000000" w:rsidRPr="00000000" w14:paraId="00000017">
      <w:pPr>
        <w:widowControl w:val="0"/>
        <w:shd w:fill="ffffff" w:val="clea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relación a las formas de medición de la actividad turística, no hay que dejar de visualizar las posibilidades que se abren con la implementación de Los Sistemas de Información Turística (SIT). Según Alonso (2007), puede ser definido como una colección de personas, procedimientos y equipos diseñados, construidos, operados y mantenidos para recoger, registrar, procesar, almacenar, recuperar y visualizar información; y están compuestos por información, soportes, profesionales de la información y usuarios.</w:t>
      </w:r>
      <w:r w:rsidDel="00000000" w:rsidR="00000000" w:rsidRPr="00000000">
        <w:rPr>
          <w:rtl w:val="0"/>
        </w:rPr>
      </w:r>
    </w:p>
    <w:p w:rsidR="00000000" w:rsidDel="00000000" w:rsidP="00000000" w:rsidRDefault="00000000" w:rsidRPr="00000000" w14:paraId="00000018">
      <w:pPr>
        <w:widowControl w:val="0"/>
        <w:shd w:fill="ffffff" w:val="clea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autor plantea que los SIT constituyen una herramienta esencial para la gestión de los destinos turísticos en la actualidad, por su contribución para elevar los valores más auténticos de las regiones o zonas turísticas dentro de un destino, incluir a los principales referentes de la oferta de servicios y productos de interés para el visitante y contribuir a la generación de conocimiento e información fidedigna en tiempo real sobre la oferta turístico-recreativa de manera holística y detallada. Estos sistemas se convierten en un instrumento para la toma de decisiones en cada una de las etapas del proceso de planificación y gestión del turismo, ya sea en el ámbito público o privado.</w:t>
      </w:r>
    </w:p>
    <w:p w:rsidR="00000000" w:rsidDel="00000000" w:rsidP="00000000" w:rsidRDefault="00000000" w:rsidRPr="00000000" w14:paraId="00000019">
      <w:pPr>
        <w:widowControl w:val="0"/>
        <w:shd w:fill="ffffff" w:val="clea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Según Valles (2003) idea que retoma Menchero (2015), los Sistemas de Información Turística permiten el establecimiento de relaciones entre objetos turísticos, de manera que actúan como responsables de la información tanto a turistas como a gestores y actores turísticos. En ese sentido, en los SIT se reúnen la promoción de atractivos con la oferta turística; la toma de decisiones por parte de los actores turísticos y la recolección de estadísticas y datos, para su utilización en diversos fines.</w:t>
      </w:r>
    </w:p>
    <w:p w:rsidR="00000000" w:rsidDel="00000000" w:rsidP="00000000" w:rsidRDefault="00000000" w:rsidRPr="00000000" w14:paraId="0000001A">
      <w:pPr>
        <w:widowControl w:val="0"/>
        <w:shd w:fill="ffffff" w:val="clea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Otros autores aportan la importancia de los SIT para incluir la lectura de satisfacción de las necesidades del cliente y traducirlo en una mejora de la valoración positiva de los servicios; además de colaborar con la detección rápida y eficaz de los cambios que se producen en el mercado. (Pérez y Echarri,  2021).</w:t>
      </w:r>
    </w:p>
    <w:p w:rsidR="00000000" w:rsidDel="00000000" w:rsidP="00000000" w:rsidRDefault="00000000" w:rsidRPr="00000000" w14:paraId="0000001B">
      <w:pPr>
        <w:widowControl w:val="0"/>
        <w:shd w:fill="ffffff" w:val="clea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última cuestión de fuerte relevancia radica en los métodos de recolección de la información. En este sentido se encuentra una multiplicidad de vertientes cuyos aportes radican, en lo que nos compete, en dos cuestiones clave. Por un lado, la identificación de una problemática que implica una transición en las metodologías, que es la fuerte incidencia de las plataformas web autogestionadas del turismo. Estas plataformas (de reserva de hoteles y transporte, de experiencias turísticas, etc), </w:t>
      </w:r>
      <w:r w:rsidDel="00000000" w:rsidR="00000000" w:rsidRPr="00000000">
        <w:rPr>
          <w:rFonts w:ascii="Times New Roman" w:cs="Times New Roman" w:eastAsia="Times New Roman" w:hAnsi="Times New Roman"/>
          <w:rtl w:val="0"/>
        </w:rPr>
        <w:t xml:space="preserve">desplazan </w:t>
      </w:r>
      <w:r w:rsidDel="00000000" w:rsidR="00000000" w:rsidRPr="00000000">
        <w:rPr>
          <w:rFonts w:ascii="Times New Roman" w:cs="Times New Roman" w:eastAsia="Times New Roman" w:hAnsi="Times New Roman"/>
          <w:rtl w:val="0"/>
        </w:rPr>
        <w:t xml:space="preserve">la interacción “cara a cara” como estrategia de recolección de información; para incorporar tecnologías de información en los SIT, </w:t>
      </w:r>
      <w:r w:rsidDel="00000000" w:rsidR="00000000" w:rsidRPr="00000000">
        <w:rPr>
          <w:rFonts w:ascii="Times New Roman" w:cs="Times New Roman" w:eastAsia="Times New Roman" w:hAnsi="Times New Roman"/>
          <w:rtl w:val="0"/>
        </w:rPr>
        <w:t xml:space="preserve">aprovechando</w:t>
      </w:r>
      <w:r w:rsidDel="00000000" w:rsidR="00000000" w:rsidRPr="00000000">
        <w:rPr>
          <w:rFonts w:ascii="Times New Roman" w:cs="Times New Roman" w:eastAsia="Times New Roman" w:hAnsi="Times New Roman"/>
          <w:rtl w:val="0"/>
        </w:rPr>
        <w:t xml:space="preserve"> ese desplazamiento en la obtención de información de manera más rápida y, muchas veces, más certera. De esta cuestión se desprenden muchas herramientas y estrategias de articulación público privada en la obtención de la información, cuya principal problemática suele tener que ver con brindar garantías a los usuarios y con el acceso a estos datos que suelen estar concentrados en grandes plataformas privadas. </w:t>
      </w:r>
    </w:p>
    <w:p w:rsidR="00000000" w:rsidDel="00000000" w:rsidP="00000000" w:rsidRDefault="00000000" w:rsidRPr="00000000" w14:paraId="0000001C">
      <w:pPr>
        <w:widowControl w:val="0"/>
        <w:shd w:fill="ffffff" w:val="clear"/>
        <w:spacing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debates contemporáneos incorporan la cuestión de ampliar las posibilidades del </w:t>
      </w:r>
      <w:r w:rsidDel="00000000" w:rsidR="00000000" w:rsidRPr="00000000">
        <w:rPr>
          <w:rFonts w:ascii="Times New Roman" w:cs="Times New Roman" w:eastAsia="Times New Roman" w:hAnsi="Times New Roman"/>
          <w:rtl w:val="0"/>
        </w:rPr>
        <w:t xml:space="preserve">sujeto-informante</w:t>
      </w:r>
      <w:r w:rsidDel="00000000" w:rsidR="00000000" w:rsidRPr="00000000">
        <w:rPr>
          <w:rFonts w:ascii="Times New Roman" w:cs="Times New Roman" w:eastAsia="Times New Roman" w:hAnsi="Times New Roman"/>
          <w:rtl w:val="0"/>
        </w:rPr>
        <w:t xml:space="preserve">: es decir, se apunta a incrementar las bases de información turística a partir de numerosas estrategias para la recolección de datos; es allí en donde se incorpora al sector privado (muchas veces mediante sistemas de incentivos), al sector público (en articulación, mediación y garantización de derechos) y al usuario o turista, a través de estrategias de sistemas de incentivos, de implementación y apropiación de sistemas de recomendación o sistemas de valoración, en los que el visitante “colabora” con la recolección y la divulgación a partir de su propia experiencia.</w:t>
      </w:r>
    </w:p>
    <w:p w:rsidR="00000000" w:rsidDel="00000000" w:rsidP="00000000" w:rsidRDefault="00000000" w:rsidRPr="00000000" w14:paraId="0000001D">
      <w:pPr>
        <w:widowControl w:val="0"/>
        <w:spacing w:after="240" w:before="240" w:line="360" w:lineRule="auto"/>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SIT en Córdoba: Claves emergentes y de agenda</w:t>
      </w:r>
    </w:p>
    <w:p w:rsidR="00000000" w:rsidDel="00000000" w:rsidP="00000000" w:rsidRDefault="00000000" w:rsidRPr="00000000" w14:paraId="0000001E">
      <w:pPr>
        <w:widowControl w:val="0"/>
        <w:spacing w:line="360" w:lineRule="auto"/>
        <w:ind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segunda etapa del proyecto contemplaba, como se mencionó anteriormente, la realización de entrevistas con actores claves involucrados en el sector estadístico de turismo de la gestión pública de la provincia de Córdoba; específicamente,  referentes del área de la Agencia Córdoba Turismo (ACT)</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y de la Dirección Provincial de Estadísticas y Censos (DGEyC)</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F">
      <w:pPr>
        <w:widowControl w:val="0"/>
        <w:spacing w:line="360" w:lineRule="auto"/>
        <w:ind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partir de esta información se construyó un instrumento que posibilite el análisis exploratorio de las perspectivas, usos y aplicaciones de los SIT en municipios de la provincia de Córdoba. Teniendo en cuenta la importancia que adquiere en el PGB</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provincial la actividad turística</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tomamos</w:t>
      </w:r>
      <w:r w:rsidDel="00000000" w:rsidR="00000000" w:rsidRPr="00000000">
        <w:rPr>
          <w:rFonts w:ascii="Times New Roman" w:cs="Times New Roman" w:eastAsia="Times New Roman" w:hAnsi="Times New Roman"/>
          <w:rtl w:val="0"/>
        </w:rPr>
        <w:t xml:space="preserve"> como territorio clave las dos localidades turísticas más importantes del Valle de Traslasierra y el Valle de Punilla (Mina Clavero y Villa Carlos Paz, respectivamente). El recorte de la muestra tuvo que ver con un conocimiento previo sobre la aplicación de estadística turística a nivel local, así como la incidencia de estas localidades en el movimiento económico turístico.</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tl w:val="0"/>
        </w:rPr>
      </w:r>
    </w:p>
    <w:p w:rsidR="00000000" w:rsidDel="00000000" w:rsidP="00000000" w:rsidRDefault="00000000" w:rsidRPr="00000000" w14:paraId="00000020">
      <w:pPr>
        <w:widowControl w:val="0"/>
        <w:spacing w:line="360" w:lineRule="auto"/>
        <w:ind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información obtenida nos permite configurar un marco de reflexiones sobre el uso y aplicación de los SIT en la provincia de Córdoba. A fines de ordenar esta información , estructuramos tres dimensiones de análisis: construcción, aplicación y objetivo de los indicadores.</w:t>
      </w:r>
    </w:p>
    <w:p w:rsidR="00000000" w:rsidDel="00000000" w:rsidP="00000000" w:rsidRDefault="00000000" w:rsidRPr="00000000" w14:paraId="00000021">
      <w:pPr>
        <w:widowControl w:val="0"/>
        <w:spacing w:line="360" w:lineRule="auto"/>
        <w:ind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observar cómo se configura territorialmente la construcción de indicadores y los sistemas estadísticos de turismo, se puede asegurar, a partir de las respuestas de los/as entrevistados, un reconocimiento de la utilidad de las estadísticas en el sector; es decir que existen, de algún modo, herramientas de medición en torno a la actividad turística. En ese sentido, las estrategias de recolección distan de ser estandarizadas: pudimos corroborar que la DGEyC y la ACT utilizan diferentes metodologías de recolección de datos e indicadores; mientras que los municipios se apegan a las directivas a nivel provincial e intentan construir, al mismo tiempo, otro tipo de indicadores </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2">
      <w:pPr>
        <w:widowControl w:val="0"/>
        <w:spacing w:line="360" w:lineRule="auto"/>
        <w:ind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Tanto la ACT como los municipios relevados recaban información a partir de la articulación con actores públicos y privados. A su vez, los municipios recurren a los datos que les facilitan aquellos turistas que pasan por las oficinas o que se encuentran visitando la localidad, en el caso de Carlos Paz. Una de las cuestiones clave que se menciona en este aspecto, es la dificultad de determinar de manera fehaciente </w:t>
      </w:r>
      <w:r w:rsidDel="00000000" w:rsidR="00000000" w:rsidRPr="00000000">
        <w:rPr>
          <w:rFonts w:ascii="Times New Roman" w:cs="Times New Roman" w:eastAsia="Times New Roman" w:hAnsi="Times New Roman"/>
          <w:rtl w:val="0"/>
        </w:rPr>
        <w:t xml:space="preserve">cuáles son</w:t>
      </w:r>
      <w:r w:rsidDel="00000000" w:rsidR="00000000" w:rsidRPr="00000000">
        <w:rPr>
          <w:rFonts w:ascii="Times New Roman" w:cs="Times New Roman" w:eastAsia="Times New Roman" w:hAnsi="Times New Roman"/>
          <w:rtl w:val="0"/>
        </w:rPr>
        <w:t xml:space="preserve"> los actores que pertenecen al sector, al tratarse de un fenómeno tan transversal como lo es el turismo. Lo mismo sucede cuando se intenta determinar cuáles son las localidades catalogadas como “turísticas”, debido principalmente a la emergencia de nuevos territorios que desarrollan esta actividad.</w:t>
      </w:r>
    </w:p>
    <w:p w:rsidR="00000000" w:rsidDel="00000000" w:rsidP="00000000" w:rsidRDefault="00000000" w:rsidRPr="00000000" w14:paraId="00000023">
      <w:pPr>
        <w:widowControl w:val="0"/>
        <w:spacing w:line="360" w:lineRule="auto"/>
        <w:ind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lo que respecta a la </w:t>
      </w:r>
      <w:r w:rsidDel="00000000" w:rsidR="00000000" w:rsidRPr="00000000">
        <w:rPr>
          <w:rFonts w:ascii="Times New Roman" w:cs="Times New Roman" w:eastAsia="Times New Roman" w:hAnsi="Times New Roman"/>
          <w:rtl w:val="0"/>
        </w:rPr>
        <w:t xml:space="preserve">aplicación</w:t>
      </w:r>
      <w:r w:rsidDel="00000000" w:rsidR="00000000" w:rsidRPr="00000000">
        <w:rPr>
          <w:rFonts w:ascii="Times New Roman" w:cs="Times New Roman" w:eastAsia="Times New Roman" w:hAnsi="Times New Roman"/>
          <w:rtl w:val="0"/>
        </w:rPr>
        <w:t xml:space="preserve"> de los indicadores , se observa una clara diferenciación entre los sectores entrevistados dentro del gobierno provincial. Mientras que la DGEyC recopila datos de manera indirecta, es decir cruza información brindada por otros organismos, la ACT construye datos directos en conjunto con los municipios. Difieren también en la potestad de realizar cruce de datos con otras reparticiones del propio gobierno provincial y de entidades nacionales</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Del mismo modo, mientras que la ACT obtiene información sobre porcentaje de ocupación  y gasto turístico promedio en 150 localidades provinciales, la DGEyC mide el porcentaje aportado por el turismo (alojamiento, transporte y restauración) de los grandes conglomerados en el PGB provincial. </w:t>
      </w:r>
    </w:p>
    <w:p w:rsidR="00000000" w:rsidDel="00000000" w:rsidP="00000000" w:rsidRDefault="00000000" w:rsidRPr="00000000" w14:paraId="00000024">
      <w:pPr>
        <w:widowControl w:val="0"/>
        <w:spacing w:line="360" w:lineRule="auto"/>
        <w:ind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nivel local los indicadores económicos de turismo se centran principalmente en relevar la capacidad hotelera, porcentaje de ocupación y afluencia turística. Según lo obtenido en las entrevistas, esas mediciones se ven perjudicadas por la continua rotación de los recursos humanos, la deficiente jerarquía institucional del sector estadístico dentro de las áreas de turismo, la escasez de herramientas de medición que puedan dar cuenta de la transversalidad y heterogeneidad del turismo, y la necesidad de capacitación y formación técnica de los equipos de gestión. </w:t>
      </w:r>
      <w:r w:rsidDel="00000000" w:rsidR="00000000" w:rsidRPr="00000000">
        <w:rPr>
          <w:rtl w:val="0"/>
        </w:rPr>
      </w:r>
    </w:p>
    <w:p w:rsidR="00000000" w:rsidDel="00000000" w:rsidP="00000000" w:rsidRDefault="00000000" w:rsidRPr="00000000" w14:paraId="00000025">
      <w:pPr>
        <w:widowControl w:val="0"/>
        <w:spacing w:line="360" w:lineRule="auto"/>
        <w:ind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cuestión en común entre las problemáticas planteadas es la dificultad que muchas veces se presenta en la articulación con el sector privado, debido a la reticencia en el proceso de compartir los datos sobre oferta y porcentaje de ocupación.</w:t>
      </w:r>
    </w:p>
    <w:p w:rsidR="00000000" w:rsidDel="00000000" w:rsidP="00000000" w:rsidRDefault="00000000" w:rsidRPr="00000000" w14:paraId="00000026">
      <w:pPr>
        <w:widowControl w:val="0"/>
        <w:spacing w:line="360" w:lineRule="auto"/>
        <w:ind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Por último, en lo que tiene que ver con la finalidad u objetivo de las estadísticas en turismo, existe una cuestión en común y es el reconocimiento de la dificultad inherente a la medición del </w:t>
      </w:r>
      <w:r w:rsidDel="00000000" w:rsidR="00000000" w:rsidRPr="00000000">
        <w:rPr>
          <w:rFonts w:ascii="Times New Roman" w:cs="Times New Roman" w:eastAsia="Times New Roman" w:hAnsi="Times New Roman"/>
          <w:rtl w:val="0"/>
        </w:rPr>
        <w:t xml:space="preserve">impacto económico</w:t>
      </w:r>
      <w:r w:rsidDel="00000000" w:rsidR="00000000" w:rsidRPr="00000000">
        <w:rPr>
          <w:rFonts w:ascii="Times New Roman" w:cs="Times New Roman" w:eastAsia="Times New Roman" w:hAnsi="Times New Roman"/>
          <w:rtl w:val="0"/>
        </w:rPr>
        <w:t xml:space="preserve">. Hay muchos interrogantes y una escasez de respuestas, en especial sobre qué se entiende por impacto económico y cuáles serían los límites o recortes. En ese sentido, la DGEyC se plantea como objetivo medir la </w:t>
      </w:r>
      <w:r w:rsidDel="00000000" w:rsidR="00000000" w:rsidRPr="00000000">
        <w:rPr>
          <w:rFonts w:ascii="Times New Roman" w:cs="Times New Roman" w:eastAsia="Times New Roman" w:hAnsi="Times New Roman"/>
          <w:rtl w:val="0"/>
        </w:rPr>
        <w:t xml:space="preserve">contribución económica</w:t>
      </w:r>
      <w:r w:rsidDel="00000000" w:rsidR="00000000" w:rsidRPr="00000000">
        <w:rPr>
          <w:rFonts w:ascii="Times New Roman" w:cs="Times New Roman" w:eastAsia="Times New Roman" w:hAnsi="Times New Roman"/>
          <w:rtl w:val="0"/>
        </w:rPr>
        <w:t xml:space="preserve"> del turismo al PGB provincial y a la generación de empleo; mientras que la ACT y los municipios se centran en los indicadores anteriormente mencionados. La cuestión transversal que no tiene una respuesta acabada sigue siendo ¿cuál es la </w:t>
      </w:r>
      <w:r w:rsidDel="00000000" w:rsidR="00000000" w:rsidRPr="00000000">
        <w:rPr>
          <w:rFonts w:ascii="Times New Roman" w:cs="Times New Roman" w:eastAsia="Times New Roman" w:hAnsi="Times New Roman"/>
          <w:rtl w:val="0"/>
        </w:rPr>
        <w:t xml:space="preserve">finalidad</w:t>
      </w:r>
      <w:r w:rsidDel="00000000" w:rsidR="00000000" w:rsidRPr="00000000">
        <w:rPr>
          <w:rFonts w:ascii="Times New Roman" w:cs="Times New Roman" w:eastAsia="Times New Roman" w:hAnsi="Times New Roman"/>
          <w:rtl w:val="0"/>
        </w:rPr>
        <w:t xml:space="preserve"> de reunir información sobre el impacto económico del turismo dentro de los procesos de decisión pública a nivel provincial, regional y local?, interrogante que da lugar al último apartado.</w:t>
      </w:r>
    </w:p>
    <w:p w:rsidR="00000000" w:rsidDel="00000000" w:rsidP="00000000" w:rsidRDefault="00000000" w:rsidRPr="00000000" w14:paraId="00000027">
      <w:pPr>
        <w:widowControl w:val="0"/>
        <w:spacing w:line="360" w:lineRule="auto"/>
        <w:ind w:right="4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widowControl w:val="0"/>
        <w:spacing w:line="360" w:lineRule="auto"/>
        <w:ind w:right="42"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ALGUNOS LINEAMIENTOS Y DESAFÍOS DE CARA AL FUTURO</w:t>
      </w:r>
    </w:p>
    <w:p w:rsidR="00000000" w:rsidDel="00000000" w:rsidP="00000000" w:rsidRDefault="00000000" w:rsidRPr="00000000" w14:paraId="00000029">
      <w:pPr>
        <w:widowControl w:val="0"/>
        <w:spacing w:line="360" w:lineRule="auto"/>
        <w:ind w:right="4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widowControl w:val="0"/>
        <w:spacing w:line="360" w:lineRule="auto"/>
        <w:ind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cuestión de los Sistemas de Información Turística y especialmente de la medición de impactos económicos en el territorio es una temática emergente en las agendas públicas. Muestra de ello es la incipiente implementación del SINTA y las acciones de estandarización y protocolización a nivel provincial y local que esto conlleva. </w:t>
      </w:r>
    </w:p>
    <w:p w:rsidR="00000000" w:rsidDel="00000000" w:rsidP="00000000" w:rsidRDefault="00000000" w:rsidRPr="00000000" w14:paraId="0000002B">
      <w:pPr>
        <w:widowControl w:val="0"/>
        <w:spacing w:line="360" w:lineRule="auto"/>
        <w:ind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ese marco, la importancia del involucramiento de la academia en los procesos de vinculación territorial es fundamental para la construcción de datos que permitan generar prioridades de acción, tanto en la gestión pública como privada; teniendo en cuenta que la vinculación sostenida entre los diversos sectores es clave en la búsqueda de construir información real, fehaciente y de calidad; para poder ampliar los márgenes de aplicabilidad en los procesos de desarrollo turístico. Para ello es necesario el compromiso de acción y vinculación intersectorial y multinivel, para consolidar las estrategias y proyectos que tienen que ver con la recolección de información en el ámbito turístico. </w:t>
      </w:r>
    </w:p>
    <w:p w:rsidR="00000000" w:rsidDel="00000000" w:rsidP="00000000" w:rsidRDefault="00000000" w:rsidRPr="00000000" w14:paraId="0000002C">
      <w:pPr>
        <w:widowControl w:val="0"/>
        <w:spacing w:line="360" w:lineRule="auto"/>
        <w:ind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 menester para ello dar cuenta de la diversidad de objetivos y fines que posibilitan los SIT, así como trabajar sobre las diferentes utilidades que pueden ser de ayuda en todos los sectores. </w:t>
      </w:r>
    </w:p>
    <w:p w:rsidR="00000000" w:rsidDel="00000000" w:rsidP="00000000" w:rsidRDefault="00000000" w:rsidRPr="00000000" w14:paraId="0000002D">
      <w:pPr>
        <w:widowControl w:val="0"/>
        <w:spacing w:line="360" w:lineRule="auto"/>
        <w:ind w:right="42"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ello es de suma importancia fortalecer las jerarquías institucionales y profundizar la formación de capacidades técnicas en los ámbitos de gestión pública tanto provincial como local, así como profundizar y dotar de sostenibilidad los procesos de articulación intra e intergubernamental, tanto en la construcción de datos como en las posibles aplicaciones en programas, proyectos y políticas públicas.</w:t>
      </w:r>
    </w:p>
    <w:p w:rsidR="00000000" w:rsidDel="00000000" w:rsidP="00000000" w:rsidRDefault="00000000" w:rsidRPr="00000000" w14:paraId="0000002E">
      <w:pPr>
        <w:widowControl w:val="0"/>
        <w:spacing w:line="360" w:lineRule="auto"/>
        <w:ind w:right="42" w:firstLine="0"/>
        <w:jc w:val="both"/>
        <w:rPr>
          <w:rFonts w:ascii="Calibri" w:cs="Calibri" w:eastAsia="Calibri" w:hAnsi="Calibri"/>
          <w:b w:val="1"/>
          <w:sz w:val="22"/>
          <w:szCs w:val="22"/>
        </w:rPr>
      </w:pPr>
      <w:r w:rsidDel="00000000" w:rsidR="00000000" w:rsidRPr="00000000">
        <w:rPr>
          <w:rFonts w:ascii="Times New Roman" w:cs="Times New Roman" w:eastAsia="Times New Roman" w:hAnsi="Times New Roman"/>
          <w:b w:val="1"/>
          <w:rtl w:val="0"/>
        </w:rPr>
        <w:t xml:space="preserve">BIBLIOGRAFÍA</w:t>
      </w:r>
      <w:r w:rsidDel="00000000" w:rsidR="00000000" w:rsidRPr="00000000">
        <w:rPr>
          <w:rtl w:val="0"/>
        </w:rPr>
      </w:r>
    </w:p>
    <w:p w:rsidR="00000000" w:rsidDel="00000000" w:rsidP="00000000" w:rsidRDefault="00000000" w:rsidRPr="00000000" w14:paraId="0000002F">
      <w:pPr>
        <w:widowControl w:val="0"/>
        <w:spacing w:after="240" w:before="240" w:line="240" w:lineRule="auto"/>
        <w:jc w:val="both"/>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Baidal, Josep Ivars (2001). Planificación y Gestión del Desarrollo Turístico Sostenible: Propuesta para la creación de un sistema de indicadores.</w:t>
      </w:r>
    </w:p>
    <w:p w:rsidR="00000000" w:rsidDel="00000000" w:rsidP="00000000" w:rsidRDefault="00000000" w:rsidRPr="00000000" w14:paraId="00000030">
      <w:pPr>
        <w:widowControl w:val="0"/>
        <w:spacing w:after="240" w:before="240" w:line="240" w:lineRule="auto"/>
        <w:jc w:val="both"/>
        <w:rPr>
          <w:rFonts w:ascii="Times New Roman" w:cs="Times New Roman" w:eastAsia="Times New Roman" w:hAnsi="Times New Roman"/>
          <w:i w:val="1"/>
          <w:color w:val="434343"/>
        </w:rPr>
      </w:pPr>
      <w:r w:rsidDel="00000000" w:rsidR="00000000" w:rsidRPr="00000000">
        <w:rPr>
          <w:rFonts w:ascii="Times New Roman" w:cs="Times New Roman" w:eastAsia="Times New Roman" w:hAnsi="Times New Roman"/>
          <w:color w:val="434343"/>
          <w:rtl w:val="0"/>
        </w:rPr>
        <w:t xml:space="preserve">Fernández, C. y Salinas, E.R. (2020). El Centro de Análisis y Prospectiva del Turismo en Córdoba: un proyecto experimental de investigación y transferencia de conocimiento para el sector turístico. En </w:t>
      </w:r>
      <w:r w:rsidDel="00000000" w:rsidR="00000000" w:rsidRPr="00000000">
        <w:rPr>
          <w:rFonts w:ascii="Times New Roman" w:cs="Times New Roman" w:eastAsia="Times New Roman" w:hAnsi="Times New Roman"/>
          <w:i w:val="1"/>
          <w:color w:val="434343"/>
          <w:rtl w:val="0"/>
        </w:rPr>
        <w:t xml:space="preserve">Revista Internacional de Turismo, Empresa y Territorio, 4 (1), pp. 124-134. </w:t>
      </w:r>
    </w:p>
    <w:p w:rsidR="00000000" w:rsidDel="00000000" w:rsidP="00000000" w:rsidRDefault="00000000" w:rsidRPr="00000000" w14:paraId="00000031">
      <w:pPr>
        <w:widowControl w:val="0"/>
        <w:spacing w:after="240" w:before="240" w:line="240" w:lineRule="auto"/>
        <w:jc w:val="both"/>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Gonzáles Suárez, Guillermo y otros (2017):Método para Sistemas de Recomendaciones sensibles al contexto en entornos turísticos. En </w:t>
      </w:r>
      <w:r w:rsidDel="00000000" w:rsidR="00000000" w:rsidRPr="00000000">
        <w:rPr>
          <w:rFonts w:ascii="Times New Roman" w:cs="Times New Roman" w:eastAsia="Times New Roman" w:hAnsi="Times New Roman"/>
          <w:i w:val="1"/>
          <w:color w:val="434343"/>
          <w:rtl w:val="0"/>
        </w:rPr>
        <w:t xml:space="preserve">Ingeniería Industria/ISSN 1815-5936/Vol.XXXVIII/No.1</w:t>
      </w:r>
      <w:r w:rsidDel="00000000" w:rsidR="00000000" w:rsidRPr="00000000">
        <w:rPr>
          <w:rFonts w:ascii="Times New Roman" w:cs="Times New Roman" w:eastAsia="Times New Roman" w:hAnsi="Times New Roman"/>
          <w:color w:val="434343"/>
          <w:rtl w:val="0"/>
        </w:rPr>
        <w:t xml:space="preserve">.</w:t>
      </w:r>
    </w:p>
    <w:p w:rsidR="00000000" w:rsidDel="00000000" w:rsidP="00000000" w:rsidRDefault="00000000" w:rsidRPr="00000000" w14:paraId="00000032">
      <w:pPr>
        <w:widowControl w:val="0"/>
        <w:spacing w:after="240" w:before="240" w:line="240" w:lineRule="auto"/>
        <w:jc w:val="both"/>
        <w:rPr>
          <w:rFonts w:ascii="Times New Roman" w:cs="Times New Roman" w:eastAsia="Times New Roman" w:hAnsi="Times New Roman"/>
          <w:i w:val="1"/>
          <w:color w:val="434343"/>
        </w:rPr>
      </w:pPr>
      <w:r w:rsidDel="00000000" w:rsidR="00000000" w:rsidRPr="00000000">
        <w:rPr>
          <w:rFonts w:ascii="Times New Roman" w:cs="Times New Roman" w:eastAsia="Times New Roman" w:hAnsi="Times New Roman"/>
          <w:color w:val="434343"/>
          <w:rtl w:val="0"/>
        </w:rPr>
        <w:t xml:space="preserve">Leiva, José y otros (2014). Realidad aumentada y sistemas de recomendación grupales. En </w:t>
      </w:r>
      <w:r w:rsidDel="00000000" w:rsidR="00000000" w:rsidRPr="00000000">
        <w:rPr>
          <w:rFonts w:ascii="Times New Roman" w:cs="Times New Roman" w:eastAsia="Times New Roman" w:hAnsi="Times New Roman"/>
          <w:i w:val="1"/>
          <w:color w:val="434343"/>
          <w:rtl w:val="0"/>
        </w:rPr>
        <w:t xml:space="preserve">Estudios y perspectivas en turismo, Vol. 23, pp. 40-59</w:t>
      </w:r>
    </w:p>
    <w:p w:rsidR="00000000" w:rsidDel="00000000" w:rsidP="00000000" w:rsidRDefault="00000000" w:rsidRPr="00000000" w14:paraId="00000033">
      <w:pPr>
        <w:widowControl w:val="0"/>
        <w:spacing w:after="240" w:before="240" w:line="240" w:lineRule="auto"/>
        <w:jc w:val="both"/>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highlight w:val="white"/>
          <w:rtl w:val="0"/>
        </w:rPr>
        <w:t xml:space="preserve">Mantero, Juan Carlos (2005). Turismo: ética y desarrollo. ALCUTH, (4), 7-20. ISSN 1669-5542</w:t>
      </w:r>
      <w:r w:rsidDel="00000000" w:rsidR="00000000" w:rsidRPr="00000000">
        <w:rPr>
          <w:rtl w:val="0"/>
        </w:rPr>
      </w:r>
    </w:p>
    <w:p w:rsidR="00000000" w:rsidDel="00000000" w:rsidP="00000000" w:rsidRDefault="00000000" w:rsidRPr="00000000" w14:paraId="00000034">
      <w:pPr>
        <w:widowControl w:val="0"/>
        <w:spacing w:after="240" w:before="240" w:line="240" w:lineRule="auto"/>
        <w:jc w:val="both"/>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Perez Rives, Luis y Echarri Chavez, Maité (2021): Retos y perspectivas de los Sistemas de Información en Destinos Turísticos. En </w:t>
      </w:r>
      <w:r w:rsidDel="00000000" w:rsidR="00000000" w:rsidRPr="00000000">
        <w:rPr>
          <w:rFonts w:ascii="Times New Roman" w:cs="Times New Roman" w:eastAsia="Times New Roman" w:hAnsi="Times New Roman"/>
          <w:i w:val="1"/>
          <w:color w:val="434343"/>
          <w:rtl w:val="0"/>
        </w:rPr>
        <w:t xml:space="preserve">Revista Internacional de Turismo, Empresa y Territorio</w:t>
      </w:r>
      <w:r w:rsidDel="00000000" w:rsidR="00000000" w:rsidRPr="00000000">
        <w:rPr>
          <w:rFonts w:ascii="Times New Roman" w:cs="Times New Roman" w:eastAsia="Times New Roman" w:hAnsi="Times New Roman"/>
          <w:color w:val="434343"/>
          <w:rtl w:val="0"/>
        </w:rPr>
        <w:t xml:space="preserve">.</w:t>
      </w:r>
    </w:p>
    <w:p w:rsidR="00000000" w:rsidDel="00000000" w:rsidP="00000000" w:rsidRDefault="00000000" w:rsidRPr="00000000" w14:paraId="00000035">
      <w:pPr>
        <w:widowControl w:val="0"/>
        <w:spacing w:after="240" w:before="240" w:line="240" w:lineRule="auto"/>
        <w:jc w:val="both"/>
        <w:rPr>
          <w:rFonts w:ascii="Times New Roman" w:cs="Times New Roman" w:eastAsia="Times New Roman" w:hAnsi="Times New Roman"/>
          <w:i w:val="1"/>
          <w:color w:val="434343"/>
        </w:rPr>
      </w:pPr>
      <w:r w:rsidDel="00000000" w:rsidR="00000000" w:rsidRPr="00000000">
        <w:rPr>
          <w:rFonts w:ascii="Times New Roman" w:cs="Times New Roman" w:eastAsia="Times New Roman" w:hAnsi="Times New Roman"/>
          <w:color w:val="434343"/>
          <w:rtl w:val="0"/>
        </w:rPr>
        <w:t xml:space="preserve">Santana, M.A, y Hernández, N.Y. (2020). Medición de impactos y planificación turística: ¿tecnología o política?. En</w:t>
      </w:r>
      <w:r w:rsidDel="00000000" w:rsidR="00000000" w:rsidRPr="00000000">
        <w:rPr>
          <w:rFonts w:ascii="Times New Roman" w:cs="Times New Roman" w:eastAsia="Times New Roman" w:hAnsi="Times New Roman"/>
          <w:i w:val="1"/>
          <w:color w:val="434343"/>
          <w:rtl w:val="0"/>
        </w:rPr>
        <w:t xml:space="preserve"> Revista Internacional de Turismo, Empresa y Territorio, 4 (1), pp. 61-78.</w:t>
      </w:r>
    </w:p>
    <w:p w:rsidR="00000000" w:rsidDel="00000000" w:rsidP="00000000" w:rsidRDefault="00000000" w:rsidRPr="00000000" w14:paraId="00000036">
      <w:pPr>
        <w:widowControl w:val="0"/>
        <w:spacing w:after="240" w:before="240" w:line="240" w:lineRule="auto"/>
        <w:jc w:val="both"/>
        <w:rPr>
          <w:rFonts w:ascii="Times New Roman" w:cs="Times New Roman" w:eastAsia="Times New Roman" w:hAnsi="Times New Roman"/>
          <w:i w:val="1"/>
          <w:color w:val="434343"/>
        </w:rPr>
      </w:pPr>
      <w:r w:rsidDel="00000000" w:rsidR="00000000" w:rsidRPr="00000000">
        <w:rPr>
          <w:rFonts w:ascii="Times New Roman" w:cs="Times New Roman" w:eastAsia="Times New Roman" w:hAnsi="Times New Roman"/>
          <w:color w:val="434343"/>
          <w:rtl w:val="0"/>
        </w:rPr>
        <w:t xml:space="preserve">Torres Delgado, Anna (2013): Turismo y sostenibilidad. Una propuesta metodológica para el estudio de la sostenibilidad turística a escala municipal. En </w:t>
      </w:r>
      <w:r w:rsidDel="00000000" w:rsidR="00000000" w:rsidRPr="00000000">
        <w:rPr>
          <w:rFonts w:ascii="Times New Roman" w:cs="Times New Roman" w:eastAsia="Times New Roman" w:hAnsi="Times New Roman"/>
          <w:i w:val="1"/>
          <w:color w:val="434343"/>
          <w:rtl w:val="0"/>
        </w:rPr>
        <w:t xml:space="preserve">Investigaciones Turísticas n° 5, pp 163-171.</w:t>
      </w:r>
    </w:p>
    <w:p w:rsidR="00000000" w:rsidDel="00000000" w:rsidP="00000000" w:rsidRDefault="00000000" w:rsidRPr="00000000" w14:paraId="00000037">
      <w:pPr>
        <w:widowControl w:val="0"/>
        <w:spacing w:after="240" w:before="240" w:line="240" w:lineRule="auto"/>
        <w:jc w:val="both"/>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Sistema de Información Turístico Argentino </w:t>
      </w:r>
      <w:r w:rsidDel="00000000" w:rsidR="00000000" w:rsidRPr="00000000">
        <w:rPr>
          <w:rFonts w:ascii="Times New Roman" w:cs="Times New Roman" w:eastAsia="Times New Roman" w:hAnsi="Times New Roman"/>
          <w:color w:val="434343"/>
          <w:shd w:fill="f7f7f8" w:val="clear"/>
          <w:rtl w:val="0"/>
        </w:rPr>
        <w:t xml:space="preserve">[SINTA]</w:t>
      </w:r>
      <w:r w:rsidDel="00000000" w:rsidR="00000000" w:rsidRPr="00000000">
        <w:rPr>
          <w:rFonts w:ascii="Times New Roman" w:cs="Times New Roman" w:eastAsia="Times New Roman" w:hAnsi="Times New Roman"/>
          <w:color w:val="434343"/>
          <w:rtl w:val="0"/>
        </w:rPr>
        <w:t xml:space="preserve"> (2021): </w:t>
      </w:r>
      <w:r w:rsidDel="00000000" w:rsidR="00000000" w:rsidRPr="00000000">
        <w:rPr>
          <w:rFonts w:ascii="Times New Roman" w:cs="Times New Roman" w:eastAsia="Times New Roman" w:hAnsi="Times New Roman"/>
          <w:i w:val="1"/>
          <w:color w:val="434343"/>
          <w:rtl w:val="0"/>
        </w:rPr>
        <w:t xml:space="preserve">Documento Técnico N°1.  Medición del Turismo, Conceptos y Elementos Básicos para la Medición Provincial de los Turistas.</w:t>
      </w:r>
      <w:r w:rsidDel="00000000" w:rsidR="00000000" w:rsidRPr="00000000">
        <w:rPr>
          <w:rFonts w:ascii="Times New Roman" w:cs="Times New Roman" w:eastAsia="Times New Roman" w:hAnsi="Times New Roman"/>
          <w:color w:val="434343"/>
          <w:rtl w:val="0"/>
        </w:rPr>
        <w:t xml:space="preserve"> </w:t>
      </w:r>
    </w:p>
    <w:p w:rsidR="00000000" w:rsidDel="00000000" w:rsidP="00000000" w:rsidRDefault="00000000" w:rsidRPr="00000000" w14:paraId="00000038">
      <w:pPr>
        <w:widowControl w:val="0"/>
        <w:spacing w:after="240" w:before="240" w:line="240" w:lineRule="auto"/>
        <w:jc w:val="both"/>
        <w:rPr>
          <w:rFonts w:ascii="Times New Roman" w:cs="Times New Roman" w:eastAsia="Times New Roman" w:hAnsi="Times New Roman"/>
          <w:color w:val="434343"/>
        </w:rPr>
      </w:pPr>
      <w:r w:rsidDel="00000000" w:rsidR="00000000" w:rsidRPr="00000000">
        <w:rPr>
          <w:rFonts w:ascii="Times New Roman" w:cs="Times New Roman" w:eastAsia="Times New Roman" w:hAnsi="Times New Roman"/>
          <w:color w:val="434343"/>
          <w:rtl w:val="0"/>
        </w:rPr>
        <w:t xml:space="preserve">Turégano, M. Á. (2020). Medición de Impactos y Planificación Turística: ¿Tecnología o Política? </w:t>
      </w:r>
      <w:r w:rsidDel="00000000" w:rsidR="00000000" w:rsidRPr="00000000">
        <w:rPr>
          <w:rFonts w:ascii="Times New Roman" w:cs="Times New Roman" w:eastAsia="Times New Roman" w:hAnsi="Times New Roman"/>
          <w:i w:val="1"/>
          <w:color w:val="434343"/>
          <w:rtl w:val="0"/>
        </w:rPr>
        <w:t xml:space="preserve">Revista Internacional de Turismo, Empresa y Territorio</w:t>
      </w:r>
      <w:r w:rsidDel="00000000" w:rsidR="00000000" w:rsidRPr="00000000">
        <w:rPr>
          <w:rFonts w:ascii="Times New Roman" w:cs="Times New Roman" w:eastAsia="Times New Roman" w:hAnsi="Times New Roman"/>
          <w:color w:val="434343"/>
          <w:rtl w:val="0"/>
        </w:rPr>
        <w:t xml:space="preserve">.</w:t>
      </w:r>
    </w:p>
    <w:p w:rsidR="00000000" w:rsidDel="00000000" w:rsidP="00000000" w:rsidRDefault="00000000" w:rsidRPr="00000000" w14:paraId="00000039">
      <w:pPr>
        <w:widowControl w:val="0"/>
        <w:pBdr>
          <w:top w:color="d9d9e3" w:space="0" w:sz="0" w:val="none"/>
          <w:left w:color="d9d9e3" w:space="0" w:sz="0" w:val="none"/>
          <w:bottom w:color="d9d9e3" w:space="0" w:sz="0" w:val="none"/>
          <w:right w:color="d9d9e3" w:space="0" w:sz="0" w:val="none"/>
          <w:between w:color="d9d9e3" w:space="0" w:sz="0" w:val="none"/>
        </w:pBdr>
        <w:spacing w:after="300" w:before="30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FUENTES CONSULTADAS:</w:t>
      </w:r>
    </w:p>
    <w:p w:rsidR="00000000" w:rsidDel="00000000" w:rsidP="00000000" w:rsidRDefault="00000000" w:rsidRPr="00000000" w14:paraId="0000003A">
      <w:pPr>
        <w:widowControl w:val="0"/>
        <w:pBdr>
          <w:top w:color="d9d9e3" w:space="0" w:sz="0" w:val="none"/>
          <w:left w:color="d9d9e3" w:space="0" w:sz="0" w:val="none"/>
          <w:bottom w:color="d9d9e3" w:space="0" w:sz="0" w:val="none"/>
          <w:right w:color="d9d9e3" w:space="0" w:sz="0" w:val="none"/>
          <w:between w:color="d9d9e3" w:space="0" w:sz="0" w:val="none"/>
        </w:pBdr>
        <w:spacing w:after="300" w:before="300" w:line="240" w:lineRule="auto"/>
        <w:rPr>
          <w:rFonts w:ascii="Times New Roman" w:cs="Times New Roman" w:eastAsia="Times New Roman" w:hAnsi="Times New Roman"/>
          <w:color w:val="434343"/>
          <w:u w:val="single"/>
        </w:rPr>
      </w:pPr>
      <w:r w:rsidDel="00000000" w:rsidR="00000000" w:rsidRPr="00000000">
        <w:rPr>
          <w:rFonts w:ascii="Times New Roman" w:cs="Times New Roman" w:eastAsia="Times New Roman" w:hAnsi="Times New Roman"/>
          <w:rtl w:val="0"/>
        </w:rPr>
        <w:t xml:space="preserve">h</w:t>
      </w:r>
      <w:hyperlink r:id="rId10">
        <w:r w:rsidDel="00000000" w:rsidR="00000000" w:rsidRPr="00000000">
          <w:rPr>
            <w:rFonts w:ascii="Times New Roman" w:cs="Times New Roman" w:eastAsia="Times New Roman" w:hAnsi="Times New Roman"/>
            <w:color w:val="434343"/>
            <w:u w:val="single"/>
            <w:rtl w:val="0"/>
          </w:rPr>
          <w:t xml:space="preserve">ttps://www.cordobaturismo.gov.ar/cordoba-repleta-de-turistas-con-altisimos-niveles-de-ocupacion-es-el-destino-mas-elegido-del-pais/</w:t>
        </w:r>
      </w:hyperlink>
      <w:r w:rsidDel="00000000" w:rsidR="00000000" w:rsidRPr="00000000">
        <w:rPr>
          <w:rFonts w:ascii="Times New Roman" w:cs="Times New Roman" w:eastAsia="Times New Roman" w:hAnsi="Times New Roman"/>
          <w:color w:val="434343"/>
          <w:u w:val="single"/>
          <w:rtl w:val="0"/>
        </w:rPr>
        <w:t xml:space="preserve">   </w:t>
      </w:r>
    </w:p>
    <w:p w:rsidR="00000000" w:rsidDel="00000000" w:rsidP="00000000" w:rsidRDefault="00000000" w:rsidRPr="00000000" w14:paraId="0000003B">
      <w:pPr>
        <w:widowControl w:val="0"/>
        <w:pBdr>
          <w:top w:color="d9d9e3" w:space="0" w:sz="0" w:val="none"/>
          <w:left w:color="d9d9e3" w:space="0" w:sz="0" w:val="none"/>
          <w:bottom w:color="d9d9e3" w:space="0" w:sz="0" w:val="none"/>
          <w:right w:color="d9d9e3" w:space="0" w:sz="0" w:val="none"/>
          <w:between w:color="d9d9e3" w:space="0" w:sz="0" w:val="none"/>
        </w:pBdr>
        <w:spacing w:after="300" w:before="300" w:line="240" w:lineRule="auto"/>
        <w:rPr>
          <w:rFonts w:ascii="Times New Roman" w:cs="Times New Roman" w:eastAsia="Times New Roman" w:hAnsi="Times New Roman"/>
          <w:color w:val="434343"/>
          <w:u w:val="single"/>
        </w:rPr>
      </w:pPr>
      <w:hyperlink r:id="rId11">
        <w:r w:rsidDel="00000000" w:rsidR="00000000" w:rsidRPr="00000000">
          <w:rPr>
            <w:rFonts w:ascii="Times New Roman" w:cs="Times New Roman" w:eastAsia="Times New Roman" w:hAnsi="Times New Roman"/>
            <w:color w:val="1155cc"/>
            <w:u w:val="single"/>
            <w:rtl w:val="0"/>
          </w:rPr>
          <w:t xml:space="preserve">https://enredaccion.com.ar/cordoba-el-feriado-largo-genero-un-movimiento-economico-de-14-000-millones/</w:t>
        </w:r>
      </w:hyperlink>
      <w:r w:rsidDel="00000000" w:rsidR="00000000" w:rsidRPr="00000000">
        <w:rPr>
          <w:rFonts w:ascii="Times New Roman" w:cs="Times New Roman" w:eastAsia="Times New Roman" w:hAnsi="Times New Roman"/>
          <w:color w:val="434343"/>
          <w:u w:val="single"/>
          <w:rtl w:val="0"/>
        </w:rPr>
        <w:t xml:space="preserve"> </w:t>
      </w:r>
    </w:p>
    <w:p w:rsidR="00000000" w:rsidDel="00000000" w:rsidP="00000000" w:rsidRDefault="00000000" w:rsidRPr="00000000" w14:paraId="0000003C">
      <w:pPr>
        <w:widowControl w:val="0"/>
        <w:pBdr>
          <w:top w:color="d9d9e3" w:space="0" w:sz="0" w:val="none"/>
          <w:left w:color="d9d9e3" w:space="0" w:sz="0" w:val="none"/>
          <w:bottom w:color="d9d9e3" w:space="0" w:sz="0" w:val="none"/>
          <w:right w:color="d9d9e3" w:space="0" w:sz="0" w:val="none"/>
          <w:between w:color="d9d9e3" w:space="0" w:sz="0" w:val="none"/>
        </w:pBdr>
        <w:spacing w:after="300" w:before="300" w:line="240" w:lineRule="auto"/>
        <w:rPr>
          <w:rFonts w:ascii="Times New Roman" w:cs="Times New Roman" w:eastAsia="Times New Roman" w:hAnsi="Times New Roman"/>
        </w:rPr>
      </w:pPr>
      <w:hyperlink r:id="rId12">
        <w:r w:rsidDel="00000000" w:rsidR="00000000" w:rsidRPr="00000000">
          <w:rPr>
            <w:rFonts w:ascii="Times New Roman" w:cs="Times New Roman" w:eastAsia="Times New Roman" w:hAnsi="Times New Roman"/>
            <w:color w:val="1155cc"/>
            <w:u w:val="single"/>
            <w:rtl w:val="0"/>
          </w:rPr>
          <w:t xml:space="preserve">https://prensa.cba.gov.ar/informacion-general/temporada-2022-el-turismo-genero-mas-de-120-mil-millones-de-pesos/</w:t>
        </w:r>
      </w:hyperlink>
      <w:r w:rsidDel="00000000" w:rsidR="00000000" w:rsidRPr="00000000">
        <w:rPr>
          <w:rtl w:val="0"/>
        </w:rPr>
      </w:r>
    </w:p>
    <w:p w:rsidR="00000000" w:rsidDel="00000000" w:rsidP="00000000" w:rsidRDefault="00000000" w:rsidRPr="00000000" w14:paraId="0000003D">
      <w:pPr>
        <w:widowControl w:val="0"/>
        <w:spacing w:line="360" w:lineRule="auto"/>
        <w:ind w:right="42"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4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spacing w:line="276"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spacing w:line="276" w:lineRule="auto"/>
        <w:ind w:firstLine="0"/>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1">
      <w:pPr>
        <w:widowControl w:val="0"/>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 De ahora en adelante Agencia Córdoba Turismo- Sociedad de Economía Mixt</w:t>
      </w:r>
      <w:r w:rsidDel="00000000" w:rsidR="00000000" w:rsidRPr="00000000">
        <w:rPr>
          <w:rtl w:val="0"/>
        </w:rPr>
      </w:r>
    </w:p>
  </w:footnote>
  <w:footnote w:id="1">
    <w:p w:rsidR="00000000" w:rsidDel="00000000" w:rsidP="00000000" w:rsidRDefault="00000000" w:rsidRPr="00000000" w14:paraId="00000042">
      <w:pPr>
        <w:widowControl w:val="0"/>
        <w:spacing w:line="240" w:lineRule="auto"/>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6"/>
          <w:szCs w:val="16"/>
          <w:rtl w:val="0"/>
        </w:rPr>
        <w:t xml:space="preserve">De ahora en adelante Dirección Provincial de Estadísticas y Censos (DGEyC)</w:t>
      </w:r>
      <w:r w:rsidDel="00000000" w:rsidR="00000000" w:rsidRPr="00000000">
        <w:rPr>
          <w:rtl w:val="0"/>
        </w:rPr>
      </w:r>
    </w:p>
  </w:footnote>
  <w:footnote w:id="2">
    <w:p w:rsidR="00000000" w:rsidDel="00000000" w:rsidP="00000000" w:rsidRDefault="00000000" w:rsidRPr="00000000" w14:paraId="00000043">
      <w:pPr>
        <w:widowControl w:val="0"/>
        <w:spacing w:line="240" w:lineRule="auto"/>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6"/>
          <w:szCs w:val="16"/>
          <w:rtl w:val="0"/>
        </w:rPr>
        <w:t xml:space="preserve">Producto Geográfico Bruto</w:t>
      </w:r>
    </w:p>
  </w:footnote>
  <w:footnote w:id="3">
    <w:p w:rsidR="00000000" w:rsidDel="00000000" w:rsidP="00000000" w:rsidRDefault="00000000" w:rsidRPr="00000000" w14:paraId="00000044">
      <w:pPr>
        <w:widowControl w:val="0"/>
        <w:spacing w:line="240" w:lineRule="auto"/>
        <w:jc w:val="both"/>
        <w:rPr>
          <w:rFonts w:ascii="Calibri" w:cs="Calibri" w:eastAsia="Calibri" w:hAnsi="Calibri"/>
          <w:sz w:val="14"/>
          <w:szCs w:val="14"/>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 </w:t>
      </w:r>
      <w:r w:rsidDel="00000000" w:rsidR="00000000" w:rsidRPr="00000000">
        <w:rPr>
          <w:rFonts w:ascii="Calibri" w:cs="Calibri" w:eastAsia="Calibri" w:hAnsi="Calibri"/>
          <w:sz w:val="18"/>
          <w:szCs w:val="18"/>
          <w:rtl w:val="0"/>
        </w:rPr>
        <w:t xml:space="preserve">L</w:t>
      </w:r>
      <w:r w:rsidDel="00000000" w:rsidR="00000000" w:rsidRPr="00000000">
        <w:rPr>
          <w:rFonts w:ascii="Calibri" w:cs="Calibri" w:eastAsia="Calibri" w:hAnsi="Calibri"/>
          <w:sz w:val="16"/>
          <w:szCs w:val="16"/>
          <w:rtl w:val="0"/>
        </w:rPr>
        <w:t xml:space="preserve">a temporada de verano de diciembre a marzo de 2022, el turismo generó en la provincia de Córdoba un movimiento económico de 120 mil millones de pesos, según la Agencia Córdoba Turismo (ACT). La estimación se realizó teniendo en cuenta un gasto diario aproximado por persona por día de 5.500 pesos (alojamiento, alimento, excursiones y extras). La gran mayoría de los fines de semana del verano superaron el 90% de ocupación promedio y el fin de semana de Carnaval la ocupación fue plena, determinaron des de la ACT. Si se tiene en cuenta el período que va desde el 1° de diciembre del 2021 (que es cuando se inicia la temporada) hasta febrero inclusive Córdoba recibió algo más  de 4.900.000 turistas, con un promedio de permanencia de 4,5 días. </w:t>
      </w:r>
      <w:r w:rsidDel="00000000" w:rsidR="00000000" w:rsidRPr="00000000">
        <w:rPr>
          <w:rtl w:val="0"/>
        </w:rPr>
      </w:r>
    </w:p>
  </w:footnote>
  <w:footnote w:id="4">
    <w:p w:rsidR="00000000" w:rsidDel="00000000" w:rsidP="00000000" w:rsidRDefault="00000000" w:rsidRPr="00000000" w14:paraId="00000045">
      <w:pPr>
        <w:widowControl w:val="0"/>
        <w:spacing w:line="240" w:lineRule="auto"/>
        <w:jc w:val="both"/>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sz w:val="16"/>
          <w:szCs w:val="16"/>
          <w:rtl w:val="0"/>
        </w:rPr>
        <w:t xml:space="preserve"> En enero 2023, la  ciudad de Mina Clavero alcanzó  el  97% de la ocupación hotelera.La ciudad se ubica en el departamento San Alberto, en el valle de Traslasierras, y su población ronda los 9622 habitantes según Censo nacional 2022.  Conforma el municipio del mismo nombre y es el centro turístico de mayor relevancia en todo el valle.  Se caracteriza por sus paisajes naturales, sus playas y su vida nocturna. Su infraestructura turística, con gran diversidad de tipologías de alojamientos, sumado a la gran atractividad natural y cultural de los recursos turísticos que posee, hacen de Mina Clavero un destino predilecto tanto para turistas del territorio cordobés como del resto del país. </w:t>
      </w:r>
    </w:p>
    <w:p w:rsidR="00000000" w:rsidDel="00000000" w:rsidP="00000000" w:rsidRDefault="00000000" w:rsidRPr="00000000" w14:paraId="00000046">
      <w:pPr>
        <w:widowControl w:val="0"/>
        <w:spacing w:line="240" w:lineRule="auto"/>
        <w:ind w:right="42"/>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Villa Carlos Paz, si bien no es cabecera del Departamento Punilla, es una de las ciudades que  año a año mantiene el crecimiento turístico constante.  Con una población de 96.000 habitantes, según el censo 2022, la ciudad sigue siendo el epicentro del turismo en el valle. Villa Carlos Paz, al igual que Mina Clavero, proveen una gran oferta turística y gastronómica para todo tipo de público. </w:t>
      </w:r>
    </w:p>
    <w:p w:rsidR="00000000" w:rsidDel="00000000" w:rsidP="00000000" w:rsidRDefault="00000000" w:rsidRPr="00000000" w14:paraId="00000047">
      <w:pPr>
        <w:widowControl w:val="0"/>
        <w:spacing w:line="240" w:lineRule="auto"/>
        <w:ind w:right="42"/>
        <w:jc w:val="both"/>
        <w:rPr>
          <w:rFonts w:ascii="Calibri" w:cs="Calibri" w:eastAsia="Calibri" w:hAnsi="Calibri"/>
          <w:sz w:val="14"/>
          <w:szCs w:val="14"/>
        </w:rPr>
      </w:pPr>
      <w:r w:rsidDel="00000000" w:rsidR="00000000" w:rsidRPr="00000000">
        <w:rPr>
          <w:rFonts w:ascii="Calibri" w:cs="Calibri" w:eastAsia="Calibri" w:hAnsi="Calibri"/>
          <w:sz w:val="16"/>
          <w:szCs w:val="16"/>
          <w:rtl w:val="0"/>
        </w:rPr>
        <w:t xml:space="preserve">Ambos destinos tienen funcionando las representaciones oficiales de Turismo, las cuales no solamente se encargan de brindar información al visitante sino de registrar los datos específicos, para generar los indicadores pertinentes. </w:t>
      </w:r>
      <w:r w:rsidDel="00000000" w:rsidR="00000000" w:rsidRPr="00000000">
        <w:rPr>
          <w:rtl w:val="0"/>
        </w:rPr>
      </w:r>
    </w:p>
  </w:footnote>
  <w:footnote w:id="5">
    <w:p w:rsidR="00000000" w:rsidDel="00000000" w:rsidP="00000000" w:rsidRDefault="00000000" w:rsidRPr="00000000" w14:paraId="00000048">
      <w:pPr>
        <w:widowControl w:val="0"/>
        <w:spacing w:line="240" w:lineRule="auto"/>
        <w:rPr>
          <w:rFonts w:ascii="Calibri" w:cs="Calibri" w:eastAsia="Calibri" w:hAnsi="Calibri"/>
          <w:sz w:val="14"/>
          <w:szCs w:val="14"/>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6"/>
          <w:szCs w:val="16"/>
          <w:rtl w:val="0"/>
        </w:rPr>
        <w:t xml:space="preserve">Villa Carlos Paz, por ejemplo, realiza encuestas presenciales a turistas durante la temporada de verano</w:t>
      </w:r>
      <w:r w:rsidDel="00000000" w:rsidR="00000000" w:rsidRPr="00000000">
        <w:rPr>
          <w:rtl w:val="0"/>
        </w:rPr>
      </w:r>
    </w:p>
  </w:footnote>
  <w:footnote w:id="6">
    <w:p w:rsidR="00000000" w:rsidDel="00000000" w:rsidP="00000000" w:rsidRDefault="00000000" w:rsidRPr="00000000" w14:paraId="00000049">
      <w:pPr>
        <w:widowControl w:val="0"/>
        <w:spacing w:line="240" w:lineRule="auto"/>
        <w:rPr>
          <w:rFonts w:ascii="Calibri" w:cs="Calibri" w:eastAsia="Calibri" w:hAnsi="Calibri"/>
          <w:sz w:val="16"/>
          <w:szCs w:val="16"/>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16"/>
          <w:szCs w:val="16"/>
          <w:rtl w:val="0"/>
        </w:rPr>
        <w:t xml:space="preserve">La ACT SEM recaba información a partir de planillas de excel rellenadas por los municipios a partir de capacitaciones y formación. La DGEyC utiliza una matriz de insumo producto, matrices comparadas, a partir de datos relevados por las Encuestas de Turismo Internacional, la Encuesta de Ocupación Hotelera, datos brindados por la Dirección General de Rentas, etc. Asimismo, es la DGEyC la encargada de articular con instrumentos y plataformas nacionales como el SINTA, Cuenta Satélite de Turismo, etc.</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https://enredaccion.com.ar/cordoba-el-feriado-largo-genero-un-movimiento-economico-de-14-000-millones/" TargetMode="External"/><Relationship Id="rId10" Type="http://schemas.openxmlformats.org/officeDocument/2006/relationships/hyperlink" Target="https://www.cordobaturismo.gov.ar/cordoba-repleta-de-turistas-con-altisimos-niveles-de-ocupacion-es-el-destino-mas-elegido-del-pais/" TargetMode="External"/><Relationship Id="rId12" Type="http://schemas.openxmlformats.org/officeDocument/2006/relationships/hyperlink" Target="https://prensa.cba.gov.ar/informacion-general/temporada-2022-el-turismo-genero-mas-de-120-mil-millones-de-pesos/" TargetMode="External"/><Relationship Id="rId9" Type="http://schemas.openxmlformats.org/officeDocument/2006/relationships/hyperlink" Target="mailto:milivillacorta2@gmail.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mailto:aylenbbaldo@gmail.com" TargetMode="External"/><Relationship Id="rId8" Type="http://schemas.openxmlformats.org/officeDocument/2006/relationships/hyperlink" Target="mailto:profnocell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